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rsidTr="00951B2B">
        <w:tc>
          <w:tcPr>
            <w:tcW w:w="6912" w:type="dxa"/>
          </w:tcPr>
          <w:p w:rsidR="00FE7FB8" w:rsidRPr="00FE7FB8" w:rsidRDefault="00242633" w:rsidP="00FE7FB8">
            <w:pPr>
              <w:pStyle w:val="Heading7"/>
              <w:rPr>
                <w:rFonts w:ascii="Arial" w:hAnsi="Arial" w:cs="Arial"/>
                <w:szCs w:val="24"/>
              </w:rPr>
            </w:pPr>
            <w:r w:rsidRPr="00784955">
              <w:rPr>
                <w:rFonts w:ascii="Arial" w:hAnsi="Arial" w:cs="Arial"/>
                <w:szCs w:val="24"/>
              </w:rPr>
              <w:t>WEST LONDON WASTE AUTHORITY</w:t>
            </w:r>
          </w:p>
          <w:p w:rsidR="00FE7FB8" w:rsidRPr="00FE7FB8" w:rsidRDefault="00FE7FB8" w:rsidP="00FE7FB8">
            <w:pPr>
              <w:rPr>
                <w:rFonts w:ascii="Arial" w:hAnsi="Arial" w:cs="Arial"/>
                <w:szCs w:val="24"/>
              </w:rPr>
            </w:pPr>
            <w:r w:rsidRPr="00FE7FB8">
              <w:rPr>
                <w:rFonts w:ascii="Arial" w:hAnsi="Arial" w:cs="Arial"/>
                <w:szCs w:val="24"/>
              </w:rPr>
              <w:t>AUDIT COMMITTEE</w:t>
            </w:r>
          </w:p>
          <w:p w:rsidR="00FE7FB8" w:rsidRPr="00FE7FB8" w:rsidRDefault="00FE7FB8" w:rsidP="00FE7FB8"/>
        </w:tc>
        <w:tc>
          <w:tcPr>
            <w:tcW w:w="3402" w:type="dxa"/>
          </w:tcPr>
          <w:p w:rsidR="00242633" w:rsidRPr="00784955" w:rsidRDefault="00242633" w:rsidP="005E6835">
            <w:pPr>
              <w:spacing w:after="240"/>
              <w:ind w:right="317"/>
              <w:jc w:val="right"/>
              <w:rPr>
                <w:rFonts w:ascii="Arial" w:hAnsi="Arial" w:cs="Arial"/>
                <w:szCs w:val="24"/>
              </w:rPr>
            </w:pPr>
          </w:p>
        </w:tc>
      </w:tr>
      <w:tr w:rsidR="00242633" w:rsidRPr="00784955" w:rsidTr="00951B2B">
        <w:tc>
          <w:tcPr>
            <w:tcW w:w="6912" w:type="dxa"/>
          </w:tcPr>
          <w:p w:rsidR="00242633" w:rsidRPr="00D67B0C" w:rsidRDefault="00242633" w:rsidP="00597388">
            <w:pPr>
              <w:spacing w:after="240"/>
              <w:rPr>
                <w:rFonts w:ascii="Arial" w:hAnsi="Arial" w:cs="Arial"/>
                <w:szCs w:val="24"/>
              </w:rPr>
            </w:pPr>
            <w:r w:rsidRPr="00784955">
              <w:rPr>
                <w:rFonts w:ascii="Arial" w:hAnsi="Arial" w:cs="Arial"/>
                <w:szCs w:val="24"/>
              </w:rPr>
              <w:t xml:space="preserve">Report of the </w:t>
            </w:r>
            <w:r w:rsidR="00D67B0C">
              <w:rPr>
                <w:rFonts w:ascii="Arial" w:hAnsi="Arial" w:cs="Arial"/>
                <w:szCs w:val="24"/>
              </w:rPr>
              <w:t>Treasurer</w:t>
            </w:r>
            <w:r w:rsidR="004C2B15">
              <w:rPr>
                <w:rFonts w:ascii="Arial" w:hAnsi="Arial" w:cs="Arial"/>
                <w:szCs w:val="24"/>
              </w:rPr>
              <w:t xml:space="preserve"> </w:t>
            </w:r>
          </w:p>
        </w:tc>
        <w:tc>
          <w:tcPr>
            <w:tcW w:w="3402" w:type="dxa"/>
          </w:tcPr>
          <w:p w:rsidR="00242633" w:rsidRPr="00784955" w:rsidRDefault="008D36E1" w:rsidP="002E396C">
            <w:pPr>
              <w:spacing w:after="240"/>
              <w:ind w:left="34"/>
              <w:jc w:val="right"/>
              <w:rPr>
                <w:rFonts w:ascii="Arial" w:hAnsi="Arial" w:cs="Arial"/>
                <w:szCs w:val="24"/>
              </w:rPr>
            </w:pPr>
            <w:r>
              <w:rPr>
                <w:rFonts w:ascii="Arial" w:hAnsi="Arial" w:cs="Arial"/>
                <w:szCs w:val="24"/>
              </w:rPr>
              <w:t>2</w:t>
            </w:r>
            <w:r w:rsidR="002E396C">
              <w:rPr>
                <w:rFonts w:ascii="Arial" w:hAnsi="Arial" w:cs="Arial"/>
                <w:szCs w:val="24"/>
              </w:rPr>
              <w:t>2</w:t>
            </w:r>
            <w:r w:rsidR="00C37937">
              <w:rPr>
                <w:rFonts w:ascii="Arial" w:hAnsi="Arial" w:cs="Arial"/>
                <w:szCs w:val="24"/>
              </w:rPr>
              <w:t xml:space="preserve"> </w:t>
            </w:r>
            <w:r w:rsidR="007E75CB">
              <w:rPr>
                <w:rFonts w:ascii="Arial" w:hAnsi="Arial" w:cs="Arial"/>
                <w:szCs w:val="24"/>
              </w:rPr>
              <w:t>September</w:t>
            </w:r>
            <w:r w:rsidR="00C37937">
              <w:rPr>
                <w:rFonts w:ascii="Arial" w:hAnsi="Arial" w:cs="Arial"/>
                <w:szCs w:val="24"/>
              </w:rPr>
              <w:t xml:space="preserve"> 201</w:t>
            </w:r>
            <w:r w:rsidR="002E396C">
              <w:rPr>
                <w:rFonts w:ascii="Arial" w:hAnsi="Arial" w:cs="Arial"/>
                <w:szCs w:val="24"/>
              </w:rPr>
              <w:t>7</w:t>
            </w:r>
          </w:p>
        </w:tc>
      </w:tr>
      <w:tr w:rsidR="00242633" w:rsidRPr="00784955" w:rsidTr="00951B2B">
        <w:trPr>
          <w:cantSplit/>
        </w:trPr>
        <w:tc>
          <w:tcPr>
            <w:tcW w:w="10314" w:type="dxa"/>
            <w:gridSpan w:val="2"/>
          </w:tcPr>
          <w:p w:rsidR="00242633" w:rsidRPr="00784955" w:rsidRDefault="00C37937" w:rsidP="00C37937">
            <w:pPr>
              <w:spacing w:after="360"/>
              <w:rPr>
                <w:rFonts w:ascii="Arial" w:hAnsi="Arial" w:cs="Arial"/>
                <w:b/>
                <w:szCs w:val="24"/>
              </w:rPr>
            </w:pPr>
            <w:r>
              <w:rPr>
                <w:rFonts w:ascii="Arial" w:hAnsi="Arial" w:cs="Arial"/>
                <w:b/>
                <w:szCs w:val="24"/>
              </w:rPr>
              <w:t>Statement of Accounts for the year ending 31 March 201</w:t>
            </w:r>
            <w:r w:rsidR="002E396C">
              <w:rPr>
                <w:rFonts w:ascii="Arial" w:hAnsi="Arial" w:cs="Arial"/>
                <w:b/>
                <w:szCs w:val="24"/>
              </w:rPr>
              <w:t>7</w:t>
            </w:r>
          </w:p>
        </w:tc>
      </w:tr>
      <w:tr w:rsidR="00242633" w:rsidRPr="00784955" w:rsidTr="00951B2B">
        <w:trPr>
          <w:cantSplit/>
        </w:trPr>
        <w:tc>
          <w:tcPr>
            <w:tcW w:w="10314" w:type="dxa"/>
            <w:gridSpan w:val="2"/>
            <w:tcBorders>
              <w:top w:val="single" w:sz="4" w:space="0" w:color="auto"/>
              <w:left w:val="single" w:sz="4" w:space="0" w:color="auto"/>
              <w:right w:val="single" w:sz="4" w:space="0" w:color="auto"/>
            </w:tcBorders>
          </w:tcPr>
          <w:p w:rsidR="00242633" w:rsidRPr="00784955" w:rsidRDefault="00242633">
            <w:pPr>
              <w:pStyle w:val="Heading2"/>
              <w:spacing w:before="120" w:after="120"/>
              <w:rPr>
                <w:rFonts w:ascii="Arial" w:hAnsi="Arial" w:cs="Arial"/>
                <w:szCs w:val="24"/>
                <w:lang w:val="en-GB"/>
              </w:rPr>
            </w:pPr>
            <w:r w:rsidRPr="00784955">
              <w:rPr>
                <w:rFonts w:ascii="Arial" w:hAnsi="Arial" w:cs="Arial"/>
                <w:szCs w:val="24"/>
                <w:lang w:val="en-GB"/>
              </w:rPr>
              <w:t>SUMMARY</w:t>
            </w:r>
          </w:p>
          <w:p w:rsidR="00C13CC9" w:rsidRPr="00784955" w:rsidRDefault="00784955" w:rsidP="008D36E1">
            <w:pPr>
              <w:pStyle w:val="BodyText"/>
              <w:spacing w:after="120"/>
              <w:rPr>
                <w:rFonts w:ascii="Arial" w:hAnsi="Arial" w:cs="Arial"/>
                <w:szCs w:val="24"/>
                <w:lang w:val="en-GB"/>
              </w:rPr>
            </w:pPr>
            <w:r>
              <w:rPr>
                <w:rFonts w:ascii="Arial" w:hAnsi="Arial" w:cs="Arial"/>
                <w:szCs w:val="24"/>
                <w:lang w:val="en-GB"/>
              </w:rPr>
              <w:t xml:space="preserve">This report </w:t>
            </w:r>
            <w:r w:rsidR="004E61A9">
              <w:rPr>
                <w:rFonts w:ascii="Arial" w:hAnsi="Arial" w:cs="Arial"/>
                <w:szCs w:val="24"/>
                <w:lang w:val="en-GB"/>
              </w:rPr>
              <w:t>pr</w:t>
            </w:r>
            <w:r w:rsidR="00853C8A">
              <w:rPr>
                <w:rFonts w:ascii="Arial" w:hAnsi="Arial" w:cs="Arial"/>
                <w:szCs w:val="24"/>
                <w:lang w:val="en-GB"/>
              </w:rPr>
              <w:t xml:space="preserve">esents the </w:t>
            </w:r>
            <w:r w:rsidR="0036607D">
              <w:rPr>
                <w:rFonts w:ascii="Arial" w:hAnsi="Arial" w:cs="Arial"/>
                <w:szCs w:val="24"/>
                <w:lang w:val="en-GB"/>
              </w:rPr>
              <w:t>S</w:t>
            </w:r>
            <w:r w:rsidR="002E7AC2">
              <w:rPr>
                <w:rFonts w:ascii="Arial" w:hAnsi="Arial" w:cs="Arial"/>
                <w:szCs w:val="24"/>
                <w:lang w:val="en-GB"/>
              </w:rPr>
              <w:t>tatement of Accounts</w:t>
            </w:r>
            <w:r w:rsidR="00853C8A">
              <w:rPr>
                <w:rFonts w:ascii="Arial" w:hAnsi="Arial" w:cs="Arial"/>
                <w:szCs w:val="24"/>
                <w:lang w:val="en-GB"/>
              </w:rPr>
              <w:t xml:space="preserve"> </w:t>
            </w:r>
            <w:r w:rsidR="007E75CB">
              <w:rPr>
                <w:rFonts w:ascii="Arial" w:hAnsi="Arial" w:cs="Arial"/>
                <w:szCs w:val="24"/>
                <w:lang w:val="en-GB"/>
              </w:rPr>
              <w:t>f</w:t>
            </w:r>
            <w:r w:rsidR="00076253">
              <w:rPr>
                <w:rFonts w:ascii="Arial" w:hAnsi="Arial" w:cs="Arial"/>
                <w:szCs w:val="24"/>
                <w:lang w:val="en-GB"/>
              </w:rPr>
              <w:t>or the year ending 31 March 201</w:t>
            </w:r>
            <w:r w:rsidR="002E396C">
              <w:rPr>
                <w:rFonts w:ascii="Arial" w:hAnsi="Arial" w:cs="Arial"/>
                <w:szCs w:val="24"/>
                <w:lang w:val="en-GB"/>
              </w:rPr>
              <w:t>7</w:t>
            </w:r>
            <w:r w:rsidR="007E75CB">
              <w:rPr>
                <w:rFonts w:ascii="Arial" w:hAnsi="Arial" w:cs="Arial"/>
                <w:szCs w:val="24"/>
                <w:lang w:val="en-GB"/>
              </w:rPr>
              <w:t>.</w:t>
            </w:r>
          </w:p>
        </w:tc>
      </w:tr>
      <w:tr w:rsidR="00242633" w:rsidRPr="00784955" w:rsidTr="00951B2B">
        <w:trPr>
          <w:cantSplit/>
        </w:trPr>
        <w:tc>
          <w:tcPr>
            <w:tcW w:w="10314" w:type="dxa"/>
            <w:gridSpan w:val="2"/>
            <w:tcBorders>
              <w:top w:val="single" w:sz="4" w:space="0" w:color="auto"/>
              <w:bottom w:val="single" w:sz="4" w:space="0" w:color="auto"/>
            </w:tcBorders>
          </w:tcPr>
          <w:p w:rsidR="00242633" w:rsidRPr="00784955" w:rsidRDefault="00242633">
            <w:pPr>
              <w:spacing w:after="120"/>
              <w:rPr>
                <w:rFonts w:ascii="Arial" w:hAnsi="Arial" w:cs="Arial"/>
                <w:b/>
                <w:szCs w:val="24"/>
              </w:rPr>
            </w:pPr>
          </w:p>
        </w:tc>
      </w:tr>
      <w:tr w:rsidR="00242633" w:rsidRPr="00784955"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rsidR="00242633" w:rsidRPr="00784955" w:rsidRDefault="00242633">
            <w:pPr>
              <w:spacing w:before="120" w:after="120"/>
              <w:rPr>
                <w:rFonts w:ascii="Arial" w:hAnsi="Arial" w:cs="Arial"/>
                <w:szCs w:val="24"/>
              </w:rPr>
            </w:pPr>
            <w:r w:rsidRPr="00784955">
              <w:rPr>
                <w:rFonts w:ascii="Arial" w:hAnsi="Arial" w:cs="Arial"/>
                <w:b/>
                <w:szCs w:val="24"/>
              </w:rPr>
              <w:t>RECOMMENDATION</w:t>
            </w:r>
            <w:r w:rsidR="00F909D8" w:rsidRPr="00F909D8">
              <w:rPr>
                <w:rFonts w:ascii="Arial" w:hAnsi="Arial" w:cs="Arial"/>
                <w:b/>
                <w:szCs w:val="24"/>
              </w:rPr>
              <w:t>(S)</w:t>
            </w:r>
          </w:p>
          <w:p w:rsidR="00C1425C" w:rsidRPr="00C639B0" w:rsidRDefault="005F0B46" w:rsidP="00C1425C">
            <w:pPr>
              <w:pStyle w:val="Header"/>
              <w:tabs>
                <w:tab w:val="clear" w:pos="4153"/>
                <w:tab w:val="clear" w:pos="8306"/>
              </w:tabs>
              <w:spacing w:after="240"/>
              <w:jc w:val="both"/>
              <w:rPr>
                <w:rFonts w:ascii="Arial" w:hAnsi="Arial" w:cs="Arial"/>
                <w:szCs w:val="24"/>
              </w:rPr>
            </w:pPr>
            <w:r w:rsidRPr="00C639B0">
              <w:rPr>
                <w:rFonts w:ascii="Arial" w:hAnsi="Arial" w:cs="Arial"/>
                <w:szCs w:val="24"/>
              </w:rPr>
              <w:t xml:space="preserve">The </w:t>
            </w:r>
            <w:r w:rsidR="00FE7FB8">
              <w:rPr>
                <w:rFonts w:ascii="Arial" w:hAnsi="Arial" w:cs="Arial"/>
                <w:szCs w:val="24"/>
              </w:rPr>
              <w:t xml:space="preserve">Committee </w:t>
            </w:r>
            <w:r w:rsidR="00E23658" w:rsidRPr="00C639B0">
              <w:rPr>
                <w:rFonts w:ascii="Arial" w:hAnsi="Arial" w:cs="Arial"/>
                <w:szCs w:val="24"/>
              </w:rPr>
              <w:t>is asked to:-</w:t>
            </w:r>
          </w:p>
          <w:p w:rsidR="00AE063D" w:rsidRPr="007E75CB" w:rsidRDefault="00FE7FB8" w:rsidP="002E396C">
            <w:pPr>
              <w:pStyle w:val="Header"/>
              <w:numPr>
                <w:ilvl w:val="0"/>
                <w:numId w:val="4"/>
              </w:numPr>
              <w:tabs>
                <w:tab w:val="clear" w:pos="4153"/>
                <w:tab w:val="clear" w:pos="8306"/>
              </w:tabs>
              <w:spacing w:after="240"/>
              <w:jc w:val="both"/>
              <w:rPr>
                <w:rFonts w:ascii="Arial" w:hAnsi="Arial" w:cs="Arial"/>
                <w:i/>
                <w:szCs w:val="24"/>
              </w:rPr>
            </w:pPr>
            <w:r>
              <w:rPr>
                <w:rFonts w:ascii="Arial" w:hAnsi="Arial" w:cs="Arial"/>
                <w:szCs w:val="24"/>
              </w:rPr>
              <w:t xml:space="preserve">Recommend to the Authority </w:t>
            </w:r>
            <w:r w:rsidR="007E75CB">
              <w:rPr>
                <w:rFonts w:ascii="Arial" w:hAnsi="Arial" w:cs="Arial"/>
                <w:szCs w:val="24"/>
              </w:rPr>
              <w:t xml:space="preserve">that they approve the </w:t>
            </w:r>
            <w:r w:rsidR="0085777B">
              <w:rPr>
                <w:rFonts w:ascii="Arial" w:hAnsi="Arial" w:cs="Arial"/>
                <w:szCs w:val="24"/>
              </w:rPr>
              <w:t xml:space="preserve">Statement of Accounts </w:t>
            </w:r>
            <w:r w:rsidR="00076253">
              <w:rPr>
                <w:rFonts w:ascii="Arial" w:hAnsi="Arial" w:cs="Arial"/>
                <w:szCs w:val="24"/>
              </w:rPr>
              <w:t>for 201</w:t>
            </w:r>
            <w:r w:rsidR="002E396C">
              <w:rPr>
                <w:rFonts w:ascii="Arial" w:hAnsi="Arial" w:cs="Arial"/>
                <w:szCs w:val="24"/>
                <w:lang w:val="en-GB"/>
              </w:rPr>
              <w:t>6</w:t>
            </w:r>
            <w:r w:rsidR="007E75CB">
              <w:rPr>
                <w:rFonts w:ascii="Arial" w:hAnsi="Arial" w:cs="Arial"/>
                <w:szCs w:val="24"/>
              </w:rPr>
              <w:t>/1</w:t>
            </w:r>
            <w:r w:rsidR="002E396C">
              <w:rPr>
                <w:rFonts w:ascii="Arial" w:hAnsi="Arial" w:cs="Arial"/>
                <w:szCs w:val="24"/>
                <w:lang w:val="en-GB"/>
              </w:rPr>
              <w:t>7</w:t>
            </w:r>
            <w:r w:rsidR="007E75CB">
              <w:rPr>
                <w:rFonts w:ascii="Arial" w:hAnsi="Arial" w:cs="Arial"/>
                <w:szCs w:val="24"/>
              </w:rPr>
              <w:t xml:space="preserve"> (Appendix 1)</w:t>
            </w:r>
          </w:p>
        </w:tc>
      </w:tr>
    </w:tbl>
    <w:p w:rsidR="009F7880" w:rsidRDefault="009F7880" w:rsidP="009F7880">
      <w:pPr>
        <w:numPr>
          <w:ilvl w:val="0"/>
          <w:numId w:val="2"/>
        </w:numPr>
        <w:tabs>
          <w:tab w:val="clear" w:pos="360"/>
          <w:tab w:val="num" w:pos="567"/>
        </w:tabs>
        <w:spacing w:before="480" w:after="120"/>
        <w:jc w:val="both"/>
        <w:rPr>
          <w:rFonts w:ascii="Arial" w:hAnsi="Arial" w:cs="Arial"/>
          <w:b/>
          <w:szCs w:val="24"/>
        </w:rPr>
      </w:pPr>
      <w:r>
        <w:rPr>
          <w:rFonts w:ascii="Arial" w:hAnsi="Arial" w:cs="Arial"/>
          <w:b/>
          <w:szCs w:val="24"/>
          <w:lang w:val="en-US"/>
        </w:rPr>
        <w:t>Introduction</w:t>
      </w:r>
      <w:r w:rsidR="00C526A7" w:rsidRPr="0028083B">
        <w:rPr>
          <w:rFonts w:ascii="Arial" w:hAnsi="Arial" w:cs="Arial"/>
          <w:b/>
          <w:szCs w:val="24"/>
          <w:lang w:val="en-US"/>
        </w:rPr>
        <w:t xml:space="preserve">  </w:t>
      </w:r>
    </w:p>
    <w:p w:rsidR="00FB5493" w:rsidRDefault="00042D9A" w:rsidP="00042D9A">
      <w:pPr>
        <w:spacing w:after="120"/>
        <w:ind w:left="170"/>
        <w:jc w:val="both"/>
        <w:rPr>
          <w:rFonts w:ascii="Arial" w:hAnsi="Arial" w:cs="Arial"/>
          <w:szCs w:val="24"/>
          <w:lang w:val="en-US"/>
        </w:rPr>
      </w:pPr>
      <w:r>
        <w:rPr>
          <w:rFonts w:ascii="Arial" w:hAnsi="Arial" w:cs="Arial"/>
          <w:szCs w:val="24"/>
          <w:lang w:val="en-US"/>
        </w:rPr>
        <w:t xml:space="preserve">It is a statutory requirement to publish </w:t>
      </w:r>
      <w:r w:rsidR="00FE74EC">
        <w:rPr>
          <w:rFonts w:ascii="Arial" w:hAnsi="Arial" w:cs="Arial"/>
          <w:szCs w:val="24"/>
          <w:lang w:val="en-US"/>
        </w:rPr>
        <w:t xml:space="preserve">the Authority’s </w:t>
      </w:r>
      <w:r>
        <w:rPr>
          <w:rFonts w:ascii="Arial" w:hAnsi="Arial" w:cs="Arial"/>
          <w:szCs w:val="24"/>
          <w:lang w:val="en-US"/>
        </w:rPr>
        <w:t>signed and certified Statement of Accounts by 30 September.</w:t>
      </w:r>
      <w:r w:rsidR="00E46B21">
        <w:rPr>
          <w:rFonts w:ascii="Arial" w:hAnsi="Arial" w:cs="Arial"/>
          <w:szCs w:val="24"/>
          <w:lang w:val="en-US"/>
        </w:rPr>
        <w:t xml:space="preserve"> </w:t>
      </w:r>
      <w:r w:rsidR="00FB5493">
        <w:rPr>
          <w:rFonts w:ascii="Arial" w:hAnsi="Arial" w:cs="Arial"/>
          <w:szCs w:val="24"/>
          <w:lang w:val="en-US"/>
        </w:rPr>
        <w:t>Therefore t</w:t>
      </w:r>
      <w:r w:rsidR="00FB5493" w:rsidRPr="00FB5493">
        <w:rPr>
          <w:rFonts w:ascii="Arial" w:hAnsi="Arial" w:cs="Arial"/>
          <w:szCs w:val="24"/>
          <w:lang w:val="en-US"/>
        </w:rPr>
        <w:t xml:space="preserve">he Authority needs to formally approve its accounts, incorporating any changes required by the </w:t>
      </w:r>
      <w:r w:rsidR="00E46B21">
        <w:rPr>
          <w:rFonts w:ascii="Arial" w:hAnsi="Arial" w:cs="Arial"/>
          <w:szCs w:val="24"/>
          <w:lang w:val="en-US"/>
        </w:rPr>
        <w:t xml:space="preserve">external </w:t>
      </w:r>
      <w:r w:rsidR="00FB5493" w:rsidRPr="00FB5493">
        <w:rPr>
          <w:rFonts w:ascii="Arial" w:hAnsi="Arial" w:cs="Arial"/>
          <w:szCs w:val="24"/>
          <w:lang w:val="en-US"/>
        </w:rPr>
        <w:t>auditors as a result of the audit.</w:t>
      </w:r>
    </w:p>
    <w:p w:rsidR="00042D9A" w:rsidRDefault="00042D9A" w:rsidP="009F7880">
      <w:pPr>
        <w:spacing w:after="120"/>
        <w:ind w:left="170"/>
        <w:jc w:val="both"/>
        <w:rPr>
          <w:rFonts w:ascii="Arial" w:hAnsi="Arial" w:cs="Arial"/>
          <w:szCs w:val="24"/>
          <w:lang w:val="en-US"/>
        </w:rPr>
      </w:pPr>
      <w:r>
        <w:rPr>
          <w:rFonts w:ascii="Arial" w:hAnsi="Arial" w:cs="Arial"/>
          <w:szCs w:val="24"/>
          <w:lang w:val="en-US"/>
        </w:rPr>
        <w:t xml:space="preserve">The Statement of Accounts will need to be signed by the Chair, </w:t>
      </w:r>
      <w:r w:rsidR="00F970D0">
        <w:rPr>
          <w:rFonts w:ascii="Arial" w:hAnsi="Arial" w:cs="Arial"/>
          <w:szCs w:val="24"/>
          <w:lang w:val="en-US"/>
        </w:rPr>
        <w:t>Clerk</w:t>
      </w:r>
      <w:r>
        <w:rPr>
          <w:rFonts w:ascii="Arial" w:hAnsi="Arial" w:cs="Arial"/>
          <w:szCs w:val="24"/>
          <w:lang w:val="en-US"/>
        </w:rPr>
        <w:t xml:space="preserve"> and Treasurer </w:t>
      </w:r>
      <w:r w:rsidR="00EF0827">
        <w:rPr>
          <w:rFonts w:ascii="Arial" w:hAnsi="Arial" w:cs="Arial"/>
          <w:szCs w:val="24"/>
          <w:lang w:val="en-US"/>
        </w:rPr>
        <w:t xml:space="preserve">following approval </w:t>
      </w:r>
      <w:r>
        <w:rPr>
          <w:rFonts w:ascii="Arial" w:hAnsi="Arial" w:cs="Arial"/>
          <w:szCs w:val="24"/>
          <w:lang w:val="en-US"/>
        </w:rPr>
        <w:t xml:space="preserve">at the September Authority meeting. Our external auditors will then certify the accounts. The signed and certified Statement of Accounts </w:t>
      </w:r>
      <w:r w:rsidR="00E46B21">
        <w:rPr>
          <w:rFonts w:ascii="Arial" w:hAnsi="Arial" w:cs="Arial"/>
          <w:szCs w:val="24"/>
          <w:lang w:val="en-US"/>
        </w:rPr>
        <w:t>must</w:t>
      </w:r>
      <w:r>
        <w:rPr>
          <w:rFonts w:ascii="Arial" w:hAnsi="Arial" w:cs="Arial"/>
          <w:szCs w:val="24"/>
          <w:lang w:val="en-US"/>
        </w:rPr>
        <w:t xml:space="preserve"> be published by 30 September. </w:t>
      </w:r>
    </w:p>
    <w:p w:rsidR="00042D9A" w:rsidRPr="00042D9A" w:rsidRDefault="00CC6DE7" w:rsidP="00734EAB">
      <w:pPr>
        <w:numPr>
          <w:ilvl w:val="0"/>
          <w:numId w:val="2"/>
        </w:numPr>
        <w:autoSpaceDE w:val="0"/>
        <w:autoSpaceDN w:val="0"/>
        <w:adjustRightInd w:val="0"/>
        <w:spacing w:before="240" w:after="120"/>
        <w:jc w:val="both"/>
        <w:rPr>
          <w:rFonts w:ascii="Arial" w:hAnsi="Arial" w:cs="Arial"/>
          <w:b/>
          <w:szCs w:val="24"/>
          <w:lang w:eastAsia="en-GB"/>
        </w:rPr>
      </w:pPr>
      <w:r>
        <w:rPr>
          <w:rFonts w:ascii="Arial" w:hAnsi="Arial" w:cs="Arial"/>
          <w:b/>
          <w:szCs w:val="24"/>
          <w:lang w:eastAsia="en-GB"/>
        </w:rPr>
        <w:t>Statement of Accounts</w:t>
      </w:r>
    </w:p>
    <w:p w:rsidR="00FB5493" w:rsidRDefault="002B0F40" w:rsidP="00FB5493">
      <w:pPr>
        <w:spacing w:after="120"/>
        <w:ind w:left="170"/>
        <w:jc w:val="both"/>
        <w:rPr>
          <w:rFonts w:ascii="Arial" w:hAnsi="Arial" w:cs="Arial"/>
          <w:szCs w:val="24"/>
          <w:lang w:val="en-US"/>
        </w:rPr>
      </w:pPr>
      <w:r w:rsidRPr="00FB5493">
        <w:rPr>
          <w:rFonts w:ascii="Arial" w:hAnsi="Arial" w:cs="Arial"/>
          <w:szCs w:val="24"/>
          <w:lang w:val="en-US"/>
        </w:rPr>
        <w:t xml:space="preserve">At its meeting on the </w:t>
      </w:r>
      <w:r w:rsidR="002E396C">
        <w:rPr>
          <w:rFonts w:ascii="Arial" w:hAnsi="Arial" w:cs="Arial"/>
          <w:szCs w:val="24"/>
          <w:lang w:val="en-US"/>
        </w:rPr>
        <w:t>23</w:t>
      </w:r>
      <w:r w:rsidRPr="00FB5493">
        <w:rPr>
          <w:rFonts w:ascii="Arial" w:hAnsi="Arial" w:cs="Arial"/>
          <w:szCs w:val="24"/>
          <w:lang w:val="en-US"/>
        </w:rPr>
        <w:t xml:space="preserve"> Ju</w:t>
      </w:r>
      <w:r w:rsidR="002E396C">
        <w:rPr>
          <w:rFonts w:ascii="Arial" w:hAnsi="Arial" w:cs="Arial"/>
          <w:szCs w:val="24"/>
          <w:lang w:val="en-US"/>
        </w:rPr>
        <w:t>ne</w:t>
      </w:r>
      <w:r w:rsidRPr="00FB5493">
        <w:rPr>
          <w:rFonts w:ascii="Arial" w:hAnsi="Arial" w:cs="Arial"/>
          <w:szCs w:val="24"/>
          <w:lang w:val="en-US"/>
        </w:rPr>
        <w:t xml:space="preserve"> 201</w:t>
      </w:r>
      <w:r w:rsidR="002E396C">
        <w:rPr>
          <w:rFonts w:ascii="Arial" w:hAnsi="Arial" w:cs="Arial"/>
          <w:szCs w:val="24"/>
          <w:lang w:val="en-US"/>
        </w:rPr>
        <w:t>7</w:t>
      </w:r>
      <w:r w:rsidRPr="00FB5493">
        <w:rPr>
          <w:rFonts w:ascii="Arial" w:hAnsi="Arial" w:cs="Arial"/>
          <w:szCs w:val="24"/>
          <w:lang w:val="en-US"/>
        </w:rPr>
        <w:t xml:space="preserve"> the </w:t>
      </w:r>
      <w:r w:rsidR="00FB5493" w:rsidRPr="00FB5493">
        <w:rPr>
          <w:rFonts w:ascii="Arial" w:hAnsi="Arial" w:cs="Arial"/>
          <w:szCs w:val="24"/>
          <w:lang w:val="en-US"/>
        </w:rPr>
        <w:t xml:space="preserve">Authority </w:t>
      </w:r>
      <w:r w:rsidRPr="00FB5493">
        <w:rPr>
          <w:rFonts w:ascii="Arial" w:hAnsi="Arial" w:cs="Arial"/>
          <w:szCs w:val="24"/>
          <w:lang w:val="en-US"/>
        </w:rPr>
        <w:t>considered a draft of the statement of the accounts.  Since then the statement has been</w:t>
      </w:r>
      <w:r w:rsidR="0074692A">
        <w:rPr>
          <w:rFonts w:ascii="Arial" w:hAnsi="Arial" w:cs="Arial"/>
          <w:szCs w:val="24"/>
          <w:lang w:val="en-US"/>
        </w:rPr>
        <w:t xml:space="preserve"> audited by </w:t>
      </w:r>
      <w:r w:rsidR="008D36E1">
        <w:rPr>
          <w:rFonts w:ascii="Arial" w:hAnsi="Arial" w:cs="Arial"/>
          <w:szCs w:val="24"/>
          <w:lang w:val="en-US"/>
        </w:rPr>
        <w:t xml:space="preserve">Ernst &amp; Young </w:t>
      </w:r>
      <w:r w:rsidR="0074692A">
        <w:rPr>
          <w:rFonts w:ascii="Arial" w:hAnsi="Arial" w:cs="Arial"/>
          <w:szCs w:val="24"/>
          <w:lang w:val="en-US"/>
        </w:rPr>
        <w:t>the Authorit</w:t>
      </w:r>
      <w:r w:rsidR="008D36E1">
        <w:rPr>
          <w:rFonts w:ascii="Arial" w:hAnsi="Arial" w:cs="Arial"/>
          <w:szCs w:val="24"/>
          <w:lang w:val="en-US"/>
        </w:rPr>
        <w:t>y’s</w:t>
      </w:r>
      <w:r w:rsidR="0074692A">
        <w:rPr>
          <w:rFonts w:ascii="Arial" w:hAnsi="Arial" w:cs="Arial"/>
          <w:szCs w:val="24"/>
          <w:lang w:val="en-US"/>
        </w:rPr>
        <w:t xml:space="preserve"> external auditor</w:t>
      </w:r>
      <w:r w:rsidR="002E396C">
        <w:rPr>
          <w:rFonts w:ascii="Arial" w:hAnsi="Arial" w:cs="Arial"/>
          <w:szCs w:val="24"/>
          <w:lang w:val="en-US"/>
        </w:rPr>
        <w:t xml:space="preserve"> and they are satisfied that the </w:t>
      </w:r>
      <w:r w:rsidR="002E396C">
        <w:rPr>
          <w:rFonts w:ascii="Arial" w:hAnsi="Arial" w:cs="Arial"/>
          <w:szCs w:val="24"/>
          <w:lang w:eastAsia="en-GB"/>
        </w:rPr>
        <w:t>accounts and information supplied ensure that the Statement of Accounts provide a true and fair view of the Authority’s finances for the year ending 31 March 2017.</w:t>
      </w:r>
      <w:r w:rsidRPr="00FB5493">
        <w:rPr>
          <w:rFonts w:ascii="Arial" w:hAnsi="Arial" w:cs="Arial"/>
          <w:szCs w:val="24"/>
          <w:lang w:val="en-US"/>
        </w:rPr>
        <w:t xml:space="preserve"> </w:t>
      </w:r>
    </w:p>
    <w:p w:rsidR="002E396C" w:rsidRDefault="002E396C" w:rsidP="00A33E51">
      <w:pPr>
        <w:spacing w:after="120"/>
        <w:ind w:left="170"/>
        <w:jc w:val="both"/>
        <w:rPr>
          <w:rFonts w:ascii="Arial" w:hAnsi="Arial" w:cs="Arial"/>
          <w:szCs w:val="24"/>
          <w:lang w:eastAsia="en-GB"/>
        </w:rPr>
      </w:pPr>
      <w:r>
        <w:rPr>
          <w:rFonts w:ascii="Arial" w:hAnsi="Arial" w:cs="Arial"/>
          <w:szCs w:val="24"/>
          <w:lang w:eastAsia="en-GB"/>
        </w:rPr>
        <w:t xml:space="preserve">There is only one notable change to the accounts first reported and considered in detail at the June Authority meeting and this relates to the valuation of properties. These are artificial gains as highlighted at the June Authority meeting and following audit of the independent valuation, the overall gains were reduced from £21.5 million to £11.9 million. </w:t>
      </w:r>
      <w:r w:rsidR="00EB2A13">
        <w:rPr>
          <w:rFonts w:ascii="Arial" w:hAnsi="Arial" w:cs="Arial"/>
          <w:szCs w:val="24"/>
          <w:lang w:eastAsia="en-GB"/>
        </w:rPr>
        <w:t xml:space="preserve">They’re still big </w:t>
      </w:r>
      <w:r w:rsidR="00795AA2">
        <w:rPr>
          <w:rFonts w:ascii="Arial" w:hAnsi="Arial" w:cs="Arial"/>
          <w:szCs w:val="24"/>
          <w:lang w:eastAsia="en-GB"/>
        </w:rPr>
        <w:t xml:space="preserve">artificial </w:t>
      </w:r>
      <w:r w:rsidR="00EB2A13">
        <w:rPr>
          <w:rFonts w:ascii="Arial" w:hAnsi="Arial" w:cs="Arial"/>
          <w:szCs w:val="24"/>
          <w:lang w:eastAsia="en-GB"/>
        </w:rPr>
        <w:t xml:space="preserve">gains, but not as big as our independent </w:t>
      </w:r>
      <w:proofErr w:type="spellStart"/>
      <w:r w:rsidR="00EB2A13">
        <w:rPr>
          <w:rFonts w:ascii="Arial" w:hAnsi="Arial" w:cs="Arial"/>
          <w:szCs w:val="24"/>
          <w:lang w:eastAsia="en-GB"/>
        </w:rPr>
        <w:t>valuer</w:t>
      </w:r>
      <w:proofErr w:type="spellEnd"/>
      <w:r w:rsidR="00EB2A13">
        <w:rPr>
          <w:rFonts w:ascii="Arial" w:hAnsi="Arial" w:cs="Arial"/>
          <w:szCs w:val="24"/>
          <w:lang w:eastAsia="en-GB"/>
        </w:rPr>
        <w:t xml:space="preserve"> originally thought.</w:t>
      </w:r>
    </w:p>
    <w:p w:rsidR="00F40409" w:rsidRDefault="002E396C" w:rsidP="00A33E51">
      <w:pPr>
        <w:spacing w:after="120"/>
        <w:ind w:left="170"/>
        <w:jc w:val="both"/>
        <w:rPr>
          <w:rFonts w:ascii="Arial" w:hAnsi="Arial" w:cs="Arial"/>
          <w:szCs w:val="24"/>
          <w:lang w:val="en-US"/>
        </w:rPr>
      </w:pPr>
      <w:r>
        <w:rPr>
          <w:rFonts w:ascii="Arial" w:hAnsi="Arial" w:cs="Arial"/>
          <w:szCs w:val="24"/>
          <w:lang w:eastAsia="en-GB"/>
        </w:rPr>
        <w:t>Other than that, a</w:t>
      </w:r>
      <w:r w:rsidR="00FB5493" w:rsidRPr="002E27C6">
        <w:rPr>
          <w:rFonts w:ascii="Arial" w:hAnsi="Arial" w:cs="Arial"/>
          <w:szCs w:val="24"/>
          <w:lang w:val="en-US"/>
        </w:rPr>
        <w:t xml:space="preserve"> </w:t>
      </w:r>
      <w:r w:rsidR="0074692A" w:rsidRPr="002E27C6">
        <w:rPr>
          <w:rFonts w:ascii="Arial" w:hAnsi="Arial" w:cs="Arial"/>
          <w:szCs w:val="24"/>
          <w:lang w:val="en-US"/>
        </w:rPr>
        <w:t xml:space="preserve">small </w:t>
      </w:r>
      <w:r w:rsidR="00FB5493" w:rsidRPr="002E27C6">
        <w:rPr>
          <w:rFonts w:ascii="Arial" w:hAnsi="Arial" w:cs="Arial"/>
          <w:szCs w:val="24"/>
          <w:lang w:val="en-US"/>
        </w:rPr>
        <w:t xml:space="preserve">number of minor </w:t>
      </w:r>
      <w:r w:rsidR="008D36E1">
        <w:rPr>
          <w:rFonts w:ascii="Arial" w:hAnsi="Arial" w:cs="Arial"/>
          <w:szCs w:val="24"/>
          <w:lang w:val="en-US"/>
        </w:rPr>
        <w:t xml:space="preserve">disclosures </w:t>
      </w:r>
      <w:r w:rsidR="00FB5493" w:rsidRPr="002E27C6">
        <w:rPr>
          <w:rFonts w:ascii="Arial" w:hAnsi="Arial" w:cs="Arial"/>
          <w:szCs w:val="24"/>
          <w:lang w:val="en-US"/>
        </w:rPr>
        <w:t xml:space="preserve">and presentational changes </w:t>
      </w:r>
      <w:r w:rsidR="002E27C6" w:rsidRPr="002E27C6">
        <w:rPr>
          <w:rFonts w:ascii="Arial" w:hAnsi="Arial" w:cs="Arial"/>
          <w:szCs w:val="24"/>
          <w:lang w:val="en-US"/>
        </w:rPr>
        <w:t xml:space="preserve">were identified during the audit process. The changes </w:t>
      </w:r>
      <w:r w:rsidR="00FB5493" w:rsidRPr="002E27C6">
        <w:rPr>
          <w:rFonts w:ascii="Arial" w:hAnsi="Arial" w:cs="Arial"/>
          <w:szCs w:val="24"/>
          <w:lang w:val="en-US"/>
        </w:rPr>
        <w:t xml:space="preserve">have been </w:t>
      </w:r>
      <w:r w:rsidR="002E27C6" w:rsidRPr="002E27C6">
        <w:rPr>
          <w:rFonts w:ascii="Arial" w:hAnsi="Arial" w:cs="Arial"/>
          <w:szCs w:val="24"/>
          <w:lang w:val="en-US"/>
        </w:rPr>
        <w:t xml:space="preserve">applied </w:t>
      </w:r>
      <w:r w:rsidR="00E46B21" w:rsidRPr="002E27C6">
        <w:rPr>
          <w:rFonts w:ascii="Arial" w:hAnsi="Arial" w:cs="Arial"/>
          <w:szCs w:val="24"/>
          <w:lang w:val="en-US"/>
        </w:rPr>
        <w:t>and</w:t>
      </w:r>
      <w:r w:rsidR="00FB5493" w:rsidRPr="002E27C6">
        <w:rPr>
          <w:rFonts w:ascii="Arial" w:hAnsi="Arial" w:cs="Arial"/>
          <w:szCs w:val="24"/>
          <w:lang w:val="en-US"/>
        </w:rPr>
        <w:t xml:space="preserve"> </w:t>
      </w:r>
      <w:r w:rsidR="00E46B21" w:rsidRPr="002E27C6">
        <w:rPr>
          <w:rFonts w:ascii="Arial" w:hAnsi="Arial" w:cs="Arial"/>
          <w:szCs w:val="24"/>
          <w:lang w:val="en-US"/>
        </w:rPr>
        <w:t>t</w:t>
      </w:r>
      <w:r w:rsidR="002B0F40" w:rsidRPr="002E27C6">
        <w:rPr>
          <w:rFonts w:ascii="Arial" w:hAnsi="Arial" w:cs="Arial"/>
          <w:szCs w:val="24"/>
          <w:lang w:val="en-US"/>
        </w:rPr>
        <w:t>he final out turn figure</w:t>
      </w:r>
      <w:r>
        <w:rPr>
          <w:rFonts w:ascii="Arial" w:hAnsi="Arial" w:cs="Arial"/>
          <w:szCs w:val="24"/>
          <w:lang w:val="en-US"/>
        </w:rPr>
        <w:t xml:space="preserve">s are provided </w:t>
      </w:r>
      <w:r w:rsidR="00A41EB4">
        <w:rPr>
          <w:rFonts w:ascii="Arial" w:hAnsi="Arial" w:cs="Arial"/>
          <w:szCs w:val="24"/>
          <w:lang w:val="en-US"/>
        </w:rPr>
        <w:t>over the page</w:t>
      </w:r>
      <w:bookmarkStart w:id="0" w:name="_GoBack"/>
      <w:bookmarkEnd w:id="0"/>
      <w:r>
        <w:rPr>
          <w:rFonts w:ascii="Arial" w:hAnsi="Arial" w:cs="Arial"/>
          <w:szCs w:val="24"/>
          <w:lang w:val="en-US"/>
        </w:rPr>
        <w:t>. These show that t</w:t>
      </w:r>
      <w:r w:rsidR="00A33E51">
        <w:rPr>
          <w:rFonts w:ascii="Arial" w:hAnsi="Arial" w:cs="Arial"/>
          <w:szCs w:val="24"/>
          <w:lang w:val="en-US"/>
        </w:rPr>
        <w:t xml:space="preserve">he Authority’s accounts continue to </w:t>
      </w:r>
      <w:r>
        <w:rPr>
          <w:rFonts w:ascii="Arial" w:hAnsi="Arial" w:cs="Arial"/>
          <w:szCs w:val="24"/>
          <w:lang w:val="en-US"/>
        </w:rPr>
        <w:t xml:space="preserve">demonstrate </w:t>
      </w:r>
      <w:r w:rsidR="00A33E51">
        <w:rPr>
          <w:rFonts w:ascii="Arial" w:hAnsi="Arial" w:cs="Arial"/>
          <w:szCs w:val="24"/>
          <w:lang w:val="en-US"/>
        </w:rPr>
        <w:t xml:space="preserve">strong </w:t>
      </w:r>
      <w:r w:rsidR="002E27C6">
        <w:rPr>
          <w:rFonts w:ascii="Arial" w:hAnsi="Arial" w:cs="Arial"/>
          <w:szCs w:val="24"/>
          <w:lang w:val="en-US"/>
        </w:rPr>
        <w:t xml:space="preserve">operational </w:t>
      </w:r>
      <w:r w:rsidR="00A33E51">
        <w:rPr>
          <w:rFonts w:ascii="Arial" w:hAnsi="Arial" w:cs="Arial"/>
          <w:szCs w:val="24"/>
          <w:lang w:val="en-US"/>
        </w:rPr>
        <w:t>performance and a healthy reserve position</w:t>
      </w:r>
      <w:r w:rsidR="002E27C6">
        <w:rPr>
          <w:rFonts w:ascii="Arial" w:hAnsi="Arial" w:cs="Arial"/>
          <w:szCs w:val="24"/>
          <w:lang w:val="en-US"/>
        </w:rPr>
        <w:t xml:space="preserve"> as reported at the Ju</w:t>
      </w:r>
      <w:r>
        <w:rPr>
          <w:rFonts w:ascii="Arial" w:hAnsi="Arial" w:cs="Arial"/>
          <w:szCs w:val="24"/>
          <w:lang w:val="en-US"/>
        </w:rPr>
        <w:t>ne</w:t>
      </w:r>
      <w:r w:rsidR="002E27C6">
        <w:rPr>
          <w:rFonts w:ascii="Arial" w:hAnsi="Arial" w:cs="Arial"/>
          <w:szCs w:val="24"/>
          <w:lang w:val="en-US"/>
        </w:rPr>
        <w:t xml:space="preserve"> meeting</w:t>
      </w:r>
      <w:r w:rsidR="00A33E51">
        <w:rPr>
          <w:rFonts w:ascii="Arial" w:hAnsi="Arial" w:cs="Arial"/>
          <w:szCs w:val="24"/>
          <w:lang w:val="en-US"/>
        </w:rPr>
        <w:t>.</w:t>
      </w:r>
      <w:r w:rsidR="00F40409">
        <w:rPr>
          <w:rFonts w:ascii="Arial" w:hAnsi="Arial" w:cs="Arial"/>
          <w:szCs w:val="24"/>
          <w:lang w:val="en-US"/>
        </w:rPr>
        <w:t xml:space="preserve"> </w:t>
      </w:r>
    </w:p>
    <w:p w:rsidR="002E396C" w:rsidRDefault="002E396C">
      <w:pPr>
        <w:rPr>
          <w:rFonts w:ascii="Arial" w:hAnsi="Arial" w:cs="Arial"/>
          <w:szCs w:val="24"/>
          <w:lang w:val="en-US"/>
        </w:rPr>
      </w:pPr>
      <w:r>
        <w:rPr>
          <w:rFonts w:ascii="Arial" w:hAnsi="Arial" w:cs="Arial"/>
          <w:szCs w:val="24"/>
          <w:lang w:val="en-US"/>
        </w:rPr>
        <w:br w:type="page"/>
      </w:r>
    </w:p>
    <w:p w:rsidR="002E396C" w:rsidRDefault="002E396C" w:rsidP="00A33E51">
      <w:pPr>
        <w:spacing w:after="120"/>
        <w:ind w:left="170"/>
        <w:jc w:val="both"/>
        <w:rPr>
          <w:rFonts w:ascii="Arial" w:hAnsi="Arial" w:cs="Arial"/>
          <w:szCs w:val="24"/>
          <w:lang w:val="en-US"/>
        </w:rPr>
      </w:pPr>
    </w:p>
    <w:tbl>
      <w:tblPr>
        <w:tblW w:w="0" w:type="auto"/>
        <w:tblInd w:w="959" w:type="dxa"/>
        <w:tblLook w:val="04A0" w:firstRow="1" w:lastRow="0" w:firstColumn="1" w:lastColumn="0" w:noHBand="0" w:noVBand="1"/>
      </w:tblPr>
      <w:tblGrid>
        <w:gridCol w:w="4678"/>
        <w:gridCol w:w="1559"/>
        <w:gridCol w:w="1559"/>
        <w:gridCol w:w="1418"/>
      </w:tblGrid>
      <w:tr w:rsidR="002E396C" w:rsidRPr="005F5A17" w:rsidTr="00B2702E">
        <w:tc>
          <w:tcPr>
            <w:tcW w:w="4678" w:type="dxa"/>
          </w:tcPr>
          <w:p w:rsidR="002E396C" w:rsidRPr="00605186" w:rsidRDefault="002E396C" w:rsidP="00B2702E">
            <w:pPr>
              <w:autoSpaceDE w:val="0"/>
              <w:autoSpaceDN w:val="0"/>
              <w:adjustRightInd w:val="0"/>
              <w:spacing w:after="120"/>
              <w:rPr>
                <w:rFonts w:ascii="Arial" w:hAnsi="Arial" w:cs="Arial"/>
                <w:b/>
                <w:szCs w:val="24"/>
                <w:lang w:eastAsia="en-GB"/>
              </w:rPr>
            </w:pPr>
            <w:r w:rsidRPr="00605186">
              <w:rPr>
                <w:rFonts w:ascii="Arial" w:hAnsi="Arial" w:cs="Arial"/>
                <w:b/>
                <w:szCs w:val="24"/>
                <w:lang w:eastAsia="en-GB"/>
              </w:rPr>
              <w:t>Financial Performance 201</w:t>
            </w:r>
            <w:r>
              <w:rPr>
                <w:rFonts w:ascii="Arial" w:hAnsi="Arial" w:cs="Arial"/>
                <w:b/>
                <w:szCs w:val="24"/>
                <w:lang w:eastAsia="en-GB"/>
              </w:rPr>
              <w:t>6</w:t>
            </w:r>
            <w:r w:rsidRPr="00605186">
              <w:rPr>
                <w:rFonts w:ascii="Arial" w:hAnsi="Arial" w:cs="Arial"/>
                <w:b/>
                <w:szCs w:val="24"/>
                <w:lang w:eastAsia="en-GB"/>
              </w:rPr>
              <w:t>/1</w:t>
            </w:r>
            <w:r>
              <w:rPr>
                <w:rFonts w:ascii="Arial" w:hAnsi="Arial" w:cs="Arial"/>
                <w:b/>
                <w:szCs w:val="24"/>
                <w:lang w:eastAsia="en-GB"/>
              </w:rPr>
              <w:t>7</w:t>
            </w:r>
          </w:p>
        </w:tc>
        <w:tc>
          <w:tcPr>
            <w:tcW w:w="1559" w:type="dxa"/>
          </w:tcPr>
          <w:p w:rsidR="002E396C" w:rsidRPr="00142054" w:rsidRDefault="002E396C" w:rsidP="00B2702E">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201</w:t>
            </w:r>
            <w:r>
              <w:rPr>
                <w:rFonts w:ascii="Arial" w:hAnsi="Arial" w:cs="Arial"/>
                <w:b/>
                <w:szCs w:val="24"/>
                <w:lang w:eastAsia="en-GB"/>
              </w:rPr>
              <w:t>6</w:t>
            </w:r>
            <w:r w:rsidRPr="00142054">
              <w:rPr>
                <w:rFonts w:ascii="Arial" w:hAnsi="Arial" w:cs="Arial"/>
                <w:b/>
                <w:szCs w:val="24"/>
                <w:lang w:eastAsia="en-GB"/>
              </w:rPr>
              <w:t>/1</w:t>
            </w:r>
            <w:r>
              <w:rPr>
                <w:rFonts w:ascii="Arial" w:hAnsi="Arial" w:cs="Arial"/>
                <w:b/>
                <w:szCs w:val="24"/>
                <w:lang w:eastAsia="en-GB"/>
              </w:rPr>
              <w:t>7</w:t>
            </w:r>
            <w:r w:rsidRPr="00142054">
              <w:rPr>
                <w:rFonts w:ascii="Arial" w:hAnsi="Arial" w:cs="Arial"/>
                <w:b/>
                <w:szCs w:val="24"/>
                <w:lang w:eastAsia="en-GB"/>
              </w:rPr>
              <w:t xml:space="preserve"> Budget £000s</w:t>
            </w:r>
          </w:p>
        </w:tc>
        <w:tc>
          <w:tcPr>
            <w:tcW w:w="1559" w:type="dxa"/>
          </w:tcPr>
          <w:p w:rsidR="002E396C" w:rsidRPr="00605186" w:rsidRDefault="002E396C" w:rsidP="00B2702E">
            <w:pPr>
              <w:autoSpaceDE w:val="0"/>
              <w:autoSpaceDN w:val="0"/>
              <w:adjustRightInd w:val="0"/>
              <w:spacing w:after="120"/>
              <w:jc w:val="right"/>
              <w:rPr>
                <w:rFonts w:ascii="Arial" w:hAnsi="Arial" w:cs="Arial"/>
                <w:b/>
                <w:szCs w:val="24"/>
                <w:lang w:eastAsia="en-GB"/>
              </w:rPr>
            </w:pPr>
            <w:r w:rsidRPr="00605186">
              <w:rPr>
                <w:rFonts w:ascii="Arial" w:hAnsi="Arial" w:cs="Arial"/>
                <w:b/>
                <w:szCs w:val="24"/>
                <w:lang w:eastAsia="en-GB"/>
              </w:rPr>
              <w:t>201</w:t>
            </w:r>
            <w:r>
              <w:rPr>
                <w:rFonts w:ascii="Arial" w:hAnsi="Arial" w:cs="Arial"/>
                <w:b/>
                <w:szCs w:val="24"/>
                <w:lang w:eastAsia="en-GB"/>
              </w:rPr>
              <w:t>6</w:t>
            </w:r>
            <w:r w:rsidRPr="00605186">
              <w:rPr>
                <w:rFonts w:ascii="Arial" w:hAnsi="Arial" w:cs="Arial"/>
                <w:b/>
                <w:szCs w:val="24"/>
                <w:lang w:eastAsia="en-GB"/>
              </w:rPr>
              <w:t>/1</w:t>
            </w:r>
            <w:r>
              <w:rPr>
                <w:rFonts w:ascii="Arial" w:hAnsi="Arial" w:cs="Arial"/>
                <w:b/>
                <w:szCs w:val="24"/>
                <w:lang w:eastAsia="en-GB"/>
              </w:rPr>
              <w:t>7</w:t>
            </w:r>
            <w:r w:rsidRPr="00605186">
              <w:rPr>
                <w:rFonts w:ascii="Arial" w:hAnsi="Arial" w:cs="Arial"/>
                <w:b/>
                <w:szCs w:val="24"/>
                <w:lang w:eastAsia="en-GB"/>
              </w:rPr>
              <w:t xml:space="preserve"> Actual   £000s</w:t>
            </w:r>
          </w:p>
        </w:tc>
        <w:tc>
          <w:tcPr>
            <w:tcW w:w="1418" w:type="dxa"/>
          </w:tcPr>
          <w:p w:rsidR="002E396C" w:rsidRPr="00142054" w:rsidRDefault="002E396C" w:rsidP="00B2702E">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Variance £000s</w:t>
            </w:r>
          </w:p>
        </w:tc>
      </w:tr>
      <w:tr w:rsidR="002E396C" w:rsidRPr="005F5A17" w:rsidTr="00B2702E">
        <w:tc>
          <w:tcPr>
            <w:tcW w:w="4678" w:type="dxa"/>
          </w:tcPr>
          <w:p w:rsidR="002E396C" w:rsidRPr="00605186" w:rsidRDefault="002E396C" w:rsidP="00B2702E">
            <w:pPr>
              <w:autoSpaceDE w:val="0"/>
              <w:autoSpaceDN w:val="0"/>
              <w:adjustRightInd w:val="0"/>
              <w:spacing w:after="120"/>
              <w:rPr>
                <w:rFonts w:ascii="Arial" w:hAnsi="Arial" w:cs="Arial"/>
                <w:b/>
                <w:szCs w:val="24"/>
                <w:lang w:eastAsia="en-GB"/>
              </w:rPr>
            </w:pPr>
            <w:r w:rsidRPr="00605186">
              <w:rPr>
                <w:rFonts w:ascii="Arial" w:hAnsi="Arial" w:cs="Arial"/>
                <w:b/>
                <w:szCs w:val="24"/>
                <w:lang w:eastAsia="en-GB"/>
              </w:rPr>
              <w:t>Expenditure</w:t>
            </w:r>
          </w:p>
        </w:tc>
        <w:tc>
          <w:tcPr>
            <w:tcW w:w="1559" w:type="dxa"/>
          </w:tcPr>
          <w:p w:rsidR="002E396C" w:rsidRPr="00142054" w:rsidRDefault="002E396C" w:rsidP="00B2702E">
            <w:pPr>
              <w:autoSpaceDE w:val="0"/>
              <w:autoSpaceDN w:val="0"/>
              <w:adjustRightInd w:val="0"/>
              <w:spacing w:after="120"/>
              <w:jc w:val="right"/>
              <w:rPr>
                <w:rFonts w:ascii="Arial" w:hAnsi="Arial" w:cs="Arial"/>
                <w:b/>
                <w:szCs w:val="24"/>
                <w:lang w:eastAsia="en-GB"/>
              </w:rPr>
            </w:pPr>
          </w:p>
        </w:tc>
        <w:tc>
          <w:tcPr>
            <w:tcW w:w="1559" w:type="dxa"/>
          </w:tcPr>
          <w:p w:rsidR="002E396C" w:rsidRPr="00605186" w:rsidRDefault="002E396C" w:rsidP="00B2702E">
            <w:pPr>
              <w:autoSpaceDE w:val="0"/>
              <w:autoSpaceDN w:val="0"/>
              <w:adjustRightInd w:val="0"/>
              <w:spacing w:after="120"/>
              <w:jc w:val="right"/>
              <w:rPr>
                <w:rFonts w:ascii="Arial" w:hAnsi="Arial" w:cs="Arial"/>
                <w:b/>
                <w:szCs w:val="24"/>
                <w:lang w:eastAsia="en-GB"/>
              </w:rPr>
            </w:pPr>
          </w:p>
        </w:tc>
        <w:tc>
          <w:tcPr>
            <w:tcW w:w="1418" w:type="dxa"/>
          </w:tcPr>
          <w:p w:rsidR="002E396C" w:rsidRPr="00142054" w:rsidRDefault="002E396C" w:rsidP="00B2702E">
            <w:pPr>
              <w:autoSpaceDE w:val="0"/>
              <w:autoSpaceDN w:val="0"/>
              <w:adjustRightInd w:val="0"/>
              <w:spacing w:after="120"/>
              <w:jc w:val="right"/>
              <w:rPr>
                <w:rFonts w:ascii="Arial" w:hAnsi="Arial" w:cs="Arial"/>
                <w:b/>
                <w:szCs w:val="24"/>
                <w:lang w:eastAsia="en-GB"/>
              </w:rPr>
            </w:pPr>
          </w:p>
        </w:tc>
      </w:tr>
      <w:tr w:rsidR="002E396C" w:rsidRPr="005F5A17" w:rsidTr="00B2702E">
        <w:tc>
          <w:tcPr>
            <w:tcW w:w="4678" w:type="dxa"/>
          </w:tcPr>
          <w:p w:rsidR="002E396C" w:rsidRPr="00605186" w:rsidRDefault="002E396C" w:rsidP="00B2702E">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Employees</w:t>
            </w:r>
          </w:p>
        </w:tc>
        <w:tc>
          <w:tcPr>
            <w:tcW w:w="1559"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sidRPr="00142054">
              <w:rPr>
                <w:rFonts w:ascii="Arial" w:hAnsi="Arial" w:cs="Arial"/>
                <w:szCs w:val="24"/>
                <w:lang w:eastAsia="en-GB"/>
              </w:rPr>
              <w:t>1,5</w:t>
            </w:r>
            <w:r>
              <w:rPr>
                <w:rFonts w:ascii="Arial" w:hAnsi="Arial" w:cs="Arial"/>
                <w:szCs w:val="24"/>
                <w:lang w:eastAsia="en-GB"/>
              </w:rPr>
              <w:t>81</w:t>
            </w:r>
          </w:p>
        </w:tc>
        <w:tc>
          <w:tcPr>
            <w:tcW w:w="1559" w:type="dxa"/>
          </w:tcPr>
          <w:p w:rsidR="002E396C" w:rsidRPr="00605186" w:rsidRDefault="002E396C" w:rsidP="00B2702E">
            <w:pPr>
              <w:autoSpaceDE w:val="0"/>
              <w:autoSpaceDN w:val="0"/>
              <w:adjustRightInd w:val="0"/>
              <w:spacing w:after="120"/>
              <w:jc w:val="right"/>
              <w:rPr>
                <w:rFonts w:ascii="Arial" w:hAnsi="Arial" w:cs="Arial"/>
                <w:szCs w:val="24"/>
                <w:lang w:eastAsia="en-GB"/>
              </w:rPr>
            </w:pPr>
            <w:r w:rsidRPr="00605186">
              <w:rPr>
                <w:rFonts w:ascii="Arial" w:hAnsi="Arial" w:cs="Arial"/>
                <w:szCs w:val="24"/>
                <w:lang w:eastAsia="en-GB"/>
              </w:rPr>
              <w:t>1,</w:t>
            </w:r>
            <w:r>
              <w:rPr>
                <w:rFonts w:ascii="Arial" w:hAnsi="Arial" w:cs="Arial"/>
                <w:szCs w:val="24"/>
                <w:lang w:eastAsia="en-GB"/>
              </w:rPr>
              <w:t>837</w:t>
            </w:r>
          </w:p>
        </w:tc>
        <w:tc>
          <w:tcPr>
            <w:tcW w:w="1418"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256</w:t>
            </w:r>
          </w:p>
        </w:tc>
      </w:tr>
      <w:tr w:rsidR="002E396C" w:rsidRPr="005F5A17" w:rsidTr="00B2702E">
        <w:tc>
          <w:tcPr>
            <w:tcW w:w="4678" w:type="dxa"/>
          </w:tcPr>
          <w:p w:rsidR="002E396C" w:rsidRPr="00605186" w:rsidRDefault="002E396C" w:rsidP="00B2702E">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Premises</w:t>
            </w:r>
          </w:p>
        </w:tc>
        <w:tc>
          <w:tcPr>
            <w:tcW w:w="1559"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3,890</w:t>
            </w:r>
          </w:p>
        </w:tc>
        <w:tc>
          <w:tcPr>
            <w:tcW w:w="1559" w:type="dxa"/>
          </w:tcPr>
          <w:p w:rsidR="002E396C" w:rsidRPr="00605186"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3,258</w:t>
            </w:r>
          </w:p>
        </w:tc>
        <w:tc>
          <w:tcPr>
            <w:tcW w:w="1418"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sidRPr="00142054">
              <w:rPr>
                <w:rFonts w:ascii="Arial" w:hAnsi="Arial" w:cs="Arial"/>
                <w:szCs w:val="24"/>
                <w:lang w:eastAsia="en-GB"/>
              </w:rPr>
              <w:t>-</w:t>
            </w:r>
            <w:r>
              <w:rPr>
                <w:rFonts w:ascii="Arial" w:hAnsi="Arial" w:cs="Arial"/>
                <w:szCs w:val="24"/>
                <w:lang w:eastAsia="en-GB"/>
              </w:rPr>
              <w:t>632</w:t>
            </w:r>
          </w:p>
        </w:tc>
      </w:tr>
      <w:tr w:rsidR="002E396C" w:rsidRPr="005F5A17" w:rsidTr="00B2702E">
        <w:tc>
          <w:tcPr>
            <w:tcW w:w="4678" w:type="dxa"/>
          </w:tcPr>
          <w:p w:rsidR="002E396C" w:rsidRPr="00605186" w:rsidRDefault="002E396C" w:rsidP="00B2702E">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Waste, Transport and Disposal</w:t>
            </w:r>
          </w:p>
        </w:tc>
        <w:tc>
          <w:tcPr>
            <w:tcW w:w="1559"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40,285</w:t>
            </w:r>
          </w:p>
        </w:tc>
        <w:tc>
          <w:tcPr>
            <w:tcW w:w="1559" w:type="dxa"/>
          </w:tcPr>
          <w:p w:rsidR="002E396C" w:rsidRPr="00605186"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44,601</w:t>
            </w:r>
          </w:p>
        </w:tc>
        <w:tc>
          <w:tcPr>
            <w:tcW w:w="1418"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4,316</w:t>
            </w:r>
          </w:p>
        </w:tc>
      </w:tr>
      <w:tr w:rsidR="002E396C" w:rsidRPr="005F5A17" w:rsidTr="00B2702E">
        <w:tc>
          <w:tcPr>
            <w:tcW w:w="4678" w:type="dxa"/>
          </w:tcPr>
          <w:p w:rsidR="002E396C" w:rsidRPr="00605186" w:rsidRDefault="002E396C" w:rsidP="00B2702E">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Other supplies</w:t>
            </w:r>
          </w:p>
        </w:tc>
        <w:tc>
          <w:tcPr>
            <w:tcW w:w="1559"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732</w:t>
            </w:r>
          </w:p>
        </w:tc>
        <w:tc>
          <w:tcPr>
            <w:tcW w:w="1559" w:type="dxa"/>
          </w:tcPr>
          <w:p w:rsidR="002E396C" w:rsidRPr="00605186"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791</w:t>
            </w:r>
          </w:p>
        </w:tc>
        <w:tc>
          <w:tcPr>
            <w:tcW w:w="1418"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59</w:t>
            </w:r>
          </w:p>
        </w:tc>
      </w:tr>
      <w:tr w:rsidR="002E396C" w:rsidRPr="005F5A17" w:rsidTr="00B2702E">
        <w:tc>
          <w:tcPr>
            <w:tcW w:w="4678" w:type="dxa"/>
          </w:tcPr>
          <w:p w:rsidR="002E396C" w:rsidRPr="00605186" w:rsidRDefault="002E396C" w:rsidP="00B2702E">
            <w:pPr>
              <w:autoSpaceDE w:val="0"/>
              <w:autoSpaceDN w:val="0"/>
              <w:adjustRightInd w:val="0"/>
              <w:spacing w:after="120"/>
              <w:rPr>
                <w:rFonts w:ascii="Arial" w:hAnsi="Arial" w:cs="Arial"/>
                <w:szCs w:val="24"/>
                <w:lang w:eastAsia="en-GB"/>
              </w:rPr>
            </w:pPr>
            <w:r>
              <w:rPr>
                <w:rFonts w:ascii="Arial" w:hAnsi="Arial" w:cs="Arial"/>
                <w:szCs w:val="24"/>
                <w:lang w:eastAsia="en-GB"/>
              </w:rPr>
              <w:t>Depreciation</w:t>
            </w:r>
          </w:p>
        </w:tc>
        <w:tc>
          <w:tcPr>
            <w:tcW w:w="1559"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5,327</w:t>
            </w:r>
          </w:p>
        </w:tc>
        <w:tc>
          <w:tcPr>
            <w:tcW w:w="1559" w:type="dxa"/>
          </w:tcPr>
          <w:p w:rsidR="002E396C" w:rsidRPr="00605186"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2,539</w:t>
            </w:r>
          </w:p>
        </w:tc>
        <w:tc>
          <w:tcPr>
            <w:tcW w:w="1418"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sidRPr="00142054">
              <w:rPr>
                <w:rFonts w:ascii="Arial" w:hAnsi="Arial" w:cs="Arial"/>
                <w:szCs w:val="24"/>
                <w:lang w:eastAsia="en-GB"/>
              </w:rPr>
              <w:t>-</w:t>
            </w:r>
            <w:r>
              <w:rPr>
                <w:rFonts w:ascii="Arial" w:hAnsi="Arial" w:cs="Arial"/>
                <w:szCs w:val="24"/>
                <w:lang w:eastAsia="en-GB"/>
              </w:rPr>
              <w:t>2,788</w:t>
            </w:r>
          </w:p>
        </w:tc>
      </w:tr>
      <w:tr w:rsidR="002E396C" w:rsidRPr="005F5A17" w:rsidTr="00B2702E">
        <w:tc>
          <w:tcPr>
            <w:tcW w:w="4678" w:type="dxa"/>
          </w:tcPr>
          <w:p w:rsidR="002E396C" w:rsidRPr="00605186" w:rsidRDefault="002E396C" w:rsidP="00B2702E">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Financing</w:t>
            </w:r>
          </w:p>
        </w:tc>
        <w:tc>
          <w:tcPr>
            <w:tcW w:w="1559" w:type="dxa"/>
            <w:tcBorders>
              <w:bottom w:val="single" w:sz="4" w:space="0" w:color="auto"/>
            </w:tcBorders>
          </w:tcPr>
          <w:p w:rsidR="002E396C" w:rsidRPr="00142054"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5,967</w:t>
            </w:r>
          </w:p>
        </w:tc>
        <w:tc>
          <w:tcPr>
            <w:tcW w:w="1559" w:type="dxa"/>
            <w:tcBorders>
              <w:bottom w:val="single" w:sz="4" w:space="0" w:color="auto"/>
            </w:tcBorders>
          </w:tcPr>
          <w:p w:rsidR="002E396C" w:rsidRPr="00605186"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2,770</w:t>
            </w:r>
          </w:p>
        </w:tc>
        <w:tc>
          <w:tcPr>
            <w:tcW w:w="1418" w:type="dxa"/>
            <w:tcBorders>
              <w:bottom w:val="single" w:sz="4" w:space="0" w:color="auto"/>
            </w:tcBorders>
          </w:tcPr>
          <w:p w:rsidR="002E396C" w:rsidRPr="00142054"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-3,197</w:t>
            </w:r>
          </w:p>
        </w:tc>
      </w:tr>
      <w:tr w:rsidR="002E396C" w:rsidRPr="005F5A17" w:rsidTr="00B2702E">
        <w:tc>
          <w:tcPr>
            <w:tcW w:w="4678" w:type="dxa"/>
          </w:tcPr>
          <w:p w:rsidR="002E396C" w:rsidRPr="00605186" w:rsidRDefault="002E396C" w:rsidP="00B2702E">
            <w:pPr>
              <w:autoSpaceDE w:val="0"/>
              <w:autoSpaceDN w:val="0"/>
              <w:adjustRightInd w:val="0"/>
              <w:spacing w:after="120"/>
              <w:rPr>
                <w:rFonts w:ascii="Arial" w:hAnsi="Arial" w:cs="Arial"/>
                <w:b/>
                <w:szCs w:val="24"/>
                <w:lang w:eastAsia="en-GB"/>
              </w:rPr>
            </w:pPr>
          </w:p>
        </w:tc>
        <w:tc>
          <w:tcPr>
            <w:tcW w:w="1559" w:type="dxa"/>
            <w:tcBorders>
              <w:top w:val="single" w:sz="4" w:space="0" w:color="auto"/>
            </w:tcBorders>
          </w:tcPr>
          <w:p w:rsidR="002E396C" w:rsidRPr="00142054" w:rsidRDefault="002E396C" w:rsidP="00B2702E">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61,973</w:t>
            </w:r>
          </w:p>
        </w:tc>
        <w:tc>
          <w:tcPr>
            <w:tcW w:w="1559" w:type="dxa"/>
            <w:tcBorders>
              <w:top w:val="single" w:sz="4" w:space="0" w:color="auto"/>
            </w:tcBorders>
          </w:tcPr>
          <w:p w:rsidR="002E396C" w:rsidRPr="00605186" w:rsidRDefault="002E396C" w:rsidP="00B2702E">
            <w:pPr>
              <w:autoSpaceDE w:val="0"/>
              <w:autoSpaceDN w:val="0"/>
              <w:adjustRightInd w:val="0"/>
              <w:spacing w:after="120"/>
              <w:jc w:val="right"/>
              <w:rPr>
                <w:rFonts w:ascii="Arial" w:hAnsi="Arial" w:cs="Arial"/>
                <w:b/>
                <w:szCs w:val="24"/>
                <w:lang w:eastAsia="en-GB"/>
              </w:rPr>
            </w:pPr>
            <w:r w:rsidRPr="00605186">
              <w:rPr>
                <w:rFonts w:ascii="Arial" w:hAnsi="Arial" w:cs="Arial"/>
                <w:b/>
                <w:szCs w:val="24"/>
                <w:lang w:eastAsia="en-GB"/>
              </w:rPr>
              <w:t>5</w:t>
            </w:r>
            <w:r>
              <w:rPr>
                <w:rFonts w:ascii="Arial" w:hAnsi="Arial" w:cs="Arial"/>
                <w:b/>
                <w:szCs w:val="24"/>
                <w:lang w:eastAsia="en-GB"/>
              </w:rPr>
              <w:t>5,796</w:t>
            </w:r>
          </w:p>
        </w:tc>
        <w:tc>
          <w:tcPr>
            <w:tcW w:w="1418" w:type="dxa"/>
            <w:tcBorders>
              <w:top w:val="single" w:sz="4" w:space="0" w:color="auto"/>
            </w:tcBorders>
          </w:tcPr>
          <w:p w:rsidR="002E396C" w:rsidRPr="00142054" w:rsidRDefault="002E396C" w:rsidP="00B2702E">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w:t>
            </w:r>
            <w:r>
              <w:rPr>
                <w:rFonts w:ascii="Arial" w:hAnsi="Arial" w:cs="Arial"/>
                <w:b/>
                <w:szCs w:val="24"/>
                <w:lang w:eastAsia="en-GB"/>
              </w:rPr>
              <w:t>1,986</w:t>
            </w:r>
          </w:p>
        </w:tc>
      </w:tr>
      <w:tr w:rsidR="002E396C" w:rsidRPr="005F5A17" w:rsidTr="00B2702E">
        <w:tc>
          <w:tcPr>
            <w:tcW w:w="4678" w:type="dxa"/>
          </w:tcPr>
          <w:p w:rsidR="002E396C" w:rsidRPr="00605186" w:rsidRDefault="002E396C" w:rsidP="00B2702E">
            <w:pPr>
              <w:autoSpaceDE w:val="0"/>
              <w:autoSpaceDN w:val="0"/>
              <w:adjustRightInd w:val="0"/>
              <w:spacing w:after="120"/>
              <w:rPr>
                <w:rFonts w:ascii="Arial" w:hAnsi="Arial" w:cs="Arial"/>
                <w:b/>
                <w:szCs w:val="24"/>
                <w:lang w:eastAsia="en-GB"/>
              </w:rPr>
            </w:pPr>
            <w:r w:rsidRPr="00605186">
              <w:rPr>
                <w:rFonts w:ascii="Arial" w:hAnsi="Arial" w:cs="Arial"/>
                <w:b/>
                <w:szCs w:val="24"/>
                <w:lang w:eastAsia="en-GB"/>
              </w:rPr>
              <w:t>Income</w:t>
            </w:r>
          </w:p>
        </w:tc>
        <w:tc>
          <w:tcPr>
            <w:tcW w:w="1559" w:type="dxa"/>
          </w:tcPr>
          <w:p w:rsidR="002E396C" w:rsidRPr="00142054" w:rsidRDefault="002E396C" w:rsidP="00B2702E">
            <w:pPr>
              <w:autoSpaceDE w:val="0"/>
              <w:autoSpaceDN w:val="0"/>
              <w:adjustRightInd w:val="0"/>
              <w:spacing w:after="120"/>
              <w:jc w:val="right"/>
              <w:rPr>
                <w:rFonts w:ascii="Arial" w:hAnsi="Arial" w:cs="Arial"/>
                <w:b/>
                <w:szCs w:val="24"/>
                <w:lang w:eastAsia="en-GB"/>
              </w:rPr>
            </w:pPr>
          </w:p>
        </w:tc>
        <w:tc>
          <w:tcPr>
            <w:tcW w:w="1559" w:type="dxa"/>
          </w:tcPr>
          <w:p w:rsidR="002E396C" w:rsidRPr="00605186" w:rsidRDefault="002E396C" w:rsidP="00B2702E">
            <w:pPr>
              <w:autoSpaceDE w:val="0"/>
              <w:autoSpaceDN w:val="0"/>
              <w:adjustRightInd w:val="0"/>
              <w:spacing w:after="120"/>
              <w:jc w:val="right"/>
              <w:rPr>
                <w:rFonts w:ascii="Arial" w:hAnsi="Arial" w:cs="Arial"/>
                <w:b/>
                <w:szCs w:val="24"/>
                <w:lang w:eastAsia="en-GB"/>
              </w:rPr>
            </w:pPr>
          </w:p>
        </w:tc>
        <w:tc>
          <w:tcPr>
            <w:tcW w:w="1418" w:type="dxa"/>
          </w:tcPr>
          <w:p w:rsidR="002E396C" w:rsidRPr="00142054" w:rsidRDefault="002E396C" w:rsidP="00B2702E">
            <w:pPr>
              <w:autoSpaceDE w:val="0"/>
              <w:autoSpaceDN w:val="0"/>
              <w:adjustRightInd w:val="0"/>
              <w:spacing w:after="120"/>
              <w:jc w:val="right"/>
              <w:rPr>
                <w:rFonts w:ascii="Arial" w:hAnsi="Arial" w:cs="Arial"/>
                <w:b/>
                <w:szCs w:val="24"/>
                <w:lang w:eastAsia="en-GB"/>
              </w:rPr>
            </w:pPr>
          </w:p>
        </w:tc>
      </w:tr>
      <w:tr w:rsidR="002E396C" w:rsidRPr="005F5A17" w:rsidTr="00B2702E">
        <w:tc>
          <w:tcPr>
            <w:tcW w:w="4678" w:type="dxa"/>
          </w:tcPr>
          <w:p w:rsidR="002E396C" w:rsidRPr="00605186" w:rsidRDefault="002E396C" w:rsidP="00B2702E">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Levies</w:t>
            </w:r>
          </w:p>
        </w:tc>
        <w:tc>
          <w:tcPr>
            <w:tcW w:w="1559"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sidRPr="00142054">
              <w:rPr>
                <w:rFonts w:ascii="Arial" w:hAnsi="Arial" w:cs="Arial"/>
                <w:szCs w:val="24"/>
                <w:lang w:eastAsia="en-GB"/>
              </w:rPr>
              <w:t>-</w:t>
            </w:r>
            <w:r>
              <w:rPr>
                <w:rFonts w:ascii="Arial" w:hAnsi="Arial" w:cs="Arial"/>
                <w:szCs w:val="24"/>
                <w:lang w:eastAsia="en-GB"/>
              </w:rPr>
              <w:t>56,099</w:t>
            </w:r>
          </w:p>
        </w:tc>
        <w:tc>
          <w:tcPr>
            <w:tcW w:w="1559" w:type="dxa"/>
          </w:tcPr>
          <w:p w:rsidR="002E396C" w:rsidRPr="00605186" w:rsidRDefault="002E396C" w:rsidP="00B2702E">
            <w:pPr>
              <w:autoSpaceDE w:val="0"/>
              <w:autoSpaceDN w:val="0"/>
              <w:adjustRightInd w:val="0"/>
              <w:spacing w:after="120"/>
              <w:jc w:val="right"/>
              <w:rPr>
                <w:rFonts w:ascii="Arial" w:hAnsi="Arial" w:cs="Arial"/>
                <w:szCs w:val="24"/>
                <w:lang w:eastAsia="en-GB"/>
              </w:rPr>
            </w:pPr>
            <w:r w:rsidRPr="00605186">
              <w:rPr>
                <w:rFonts w:ascii="Arial" w:hAnsi="Arial" w:cs="Arial"/>
                <w:szCs w:val="24"/>
                <w:lang w:eastAsia="en-GB"/>
              </w:rPr>
              <w:t>-5</w:t>
            </w:r>
            <w:r>
              <w:rPr>
                <w:rFonts w:ascii="Arial" w:hAnsi="Arial" w:cs="Arial"/>
                <w:szCs w:val="24"/>
                <w:lang w:eastAsia="en-GB"/>
              </w:rPr>
              <w:t>5,277</w:t>
            </w:r>
          </w:p>
        </w:tc>
        <w:tc>
          <w:tcPr>
            <w:tcW w:w="1418"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822</w:t>
            </w:r>
          </w:p>
        </w:tc>
      </w:tr>
      <w:tr w:rsidR="002E396C" w:rsidRPr="005F5A17" w:rsidTr="00B2702E">
        <w:tc>
          <w:tcPr>
            <w:tcW w:w="4678" w:type="dxa"/>
          </w:tcPr>
          <w:p w:rsidR="002E396C" w:rsidRPr="00605186" w:rsidRDefault="002E396C" w:rsidP="00B2702E">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Trade</w:t>
            </w:r>
            <w:r>
              <w:rPr>
                <w:rFonts w:ascii="Arial" w:hAnsi="Arial" w:cs="Arial"/>
                <w:szCs w:val="24"/>
                <w:lang w:eastAsia="en-GB"/>
              </w:rPr>
              <w:t xml:space="preserve"> and other</w:t>
            </w:r>
          </w:p>
        </w:tc>
        <w:tc>
          <w:tcPr>
            <w:tcW w:w="1559"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sidRPr="00142054">
              <w:rPr>
                <w:rFonts w:ascii="Arial" w:hAnsi="Arial" w:cs="Arial"/>
                <w:szCs w:val="24"/>
                <w:lang w:eastAsia="en-GB"/>
              </w:rPr>
              <w:t>-1,2</w:t>
            </w:r>
            <w:r>
              <w:rPr>
                <w:rFonts w:ascii="Arial" w:hAnsi="Arial" w:cs="Arial"/>
                <w:szCs w:val="24"/>
                <w:lang w:eastAsia="en-GB"/>
              </w:rPr>
              <w:t>57</w:t>
            </w:r>
          </w:p>
        </w:tc>
        <w:tc>
          <w:tcPr>
            <w:tcW w:w="1559" w:type="dxa"/>
          </w:tcPr>
          <w:p w:rsidR="002E396C" w:rsidRPr="00605186" w:rsidRDefault="002E396C" w:rsidP="00B2702E">
            <w:pPr>
              <w:autoSpaceDE w:val="0"/>
              <w:autoSpaceDN w:val="0"/>
              <w:adjustRightInd w:val="0"/>
              <w:spacing w:after="120"/>
              <w:jc w:val="right"/>
              <w:rPr>
                <w:rFonts w:ascii="Arial" w:hAnsi="Arial" w:cs="Arial"/>
                <w:szCs w:val="24"/>
                <w:lang w:eastAsia="en-GB"/>
              </w:rPr>
            </w:pPr>
            <w:r w:rsidRPr="00605186">
              <w:rPr>
                <w:rFonts w:ascii="Arial" w:hAnsi="Arial" w:cs="Arial"/>
                <w:szCs w:val="24"/>
                <w:lang w:eastAsia="en-GB"/>
              </w:rPr>
              <w:t>-</w:t>
            </w:r>
            <w:r>
              <w:rPr>
                <w:rFonts w:ascii="Arial" w:hAnsi="Arial" w:cs="Arial"/>
                <w:szCs w:val="24"/>
                <w:lang w:eastAsia="en-GB"/>
              </w:rPr>
              <w:t>2,095</w:t>
            </w:r>
          </w:p>
        </w:tc>
        <w:tc>
          <w:tcPr>
            <w:tcW w:w="1418"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sidRPr="00142054">
              <w:rPr>
                <w:rFonts w:ascii="Arial" w:hAnsi="Arial" w:cs="Arial"/>
                <w:szCs w:val="24"/>
                <w:lang w:eastAsia="en-GB"/>
              </w:rPr>
              <w:t>-</w:t>
            </w:r>
            <w:r>
              <w:rPr>
                <w:rFonts w:ascii="Arial" w:hAnsi="Arial" w:cs="Arial"/>
                <w:szCs w:val="24"/>
                <w:lang w:eastAsia="en-GB"/>
              </w:rPr>
              <w:t>838</w:t>
            </w:r>
          </w:p>
        </w:tc>
      </w:tr>
      <w:tr w:rsidR="002E396C" w:rsidRPr="005F5A17" w:rsidTr="00B2702E">
        <w:tc>
          <w:tcPr>
            <w:tcW w:w="4678" w:type="dxa"/>
          </w:tcPr>
          <w:p w:rsidR="002E396C" w:rsidRPr="00605186" w:rsidRDefault="002E396C" w:rsidP="00B2702E">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Agency</w:t>
            </w:r>
          </w:p>
        </w:tc>
        <w:tc>
          <w:tcPr>
            <w:tcW w:w="1559" w:type="dxa"/>
            <w:tcBorders>
              <w:bottom w:val="single" w:sz="4" w:space="0" w:color="auto"/>
            </w:tcBorders>
          </w:tcPr>
          <w:p w:rsidR="002E396C" w:rsidRPr="00142054" w:rsidRDefault="002E396C" w:rsidP="00B2702E">
            <w:pPr>
              <w:autoSpaceDE w:val="0"/>
              <w:autoSpaceDN w:val="0"/>
              <w:adjustRightInd w:val="0"/>
              <w:spacing w:after="120"/>
              <w:jc w:val="right"/>
              <w:rPr>
                <w:rFonts w:ascii="Arial" w:hAnsi="Arial" w:cs="Arial"/>
                <w:szCs w:val="24"/>
                <w:lang w:eastAsia="en-GB"/>
              </w:rPr>
            </w:pPr>
            <w:r w:rsidRPr="00142054">
              <w:rPr>
                <w:rFonts w:ascii="Arial" w:hAnsi="Arial" w:cs="Arial"/>
                <w:szCs w:val="24"/>
                <w:lang w:eastAsia="en-GB"/>
              </w:rPr>
              <w:t>-426</w:t>
            </w:r>
          </w:p>
        </w:tc>
        <w:tc>
          <w:tcPr>
            <w:tcW w:w="1559" w:type="dxa"/>
            <w:tcBorders>
              <w:bottom w:val="single" w:sz="4" w:space="0" w:color="auto"/>
            </w:tcBorders>
          </w:tcPr>
          <w:p w:rsidR="002E396C" w:rsidRPr="00605186" w:rsidRDefault="002E396C" w:rsidP="00B2702E">
            <w:pPr>
              <w:autoSpaceDE w:val="0"/>
              <w:autoSpaceDN w:val="0"/>
              <w:adjustRightInd w:val="0"/>
              <w:spacing w:after="120"/>
              <w:jc w:val="right"/>
              <w:rPr>
                <w:rFonts w:ascii="Arial" w:hAnsi="Arial" w:cs="Arial"/>
                <w:szCs w:val="24"/>
                <w:lang w:eastAsia="en-GB"/>
              </w:rPr>
            </w:pPr>
            <w:r w:rsidRPr="00605186">
              <w:rPr>
                <w:rFonts w:ascii="Arial" w:hAnsi="Arial" w:cs="Arial"/>
                <w:szCs w:val="24"/>
                <w:lang w:eastAsia="en-GB"/>
              </w:rPr>
              <w:t>-</w:t>
            </w:r>
            <w:r>
              <w:rPr>
                <w:rFonts w:ascii="Arial" w:hAnsi="Arial" w:cs="Arial"/>
                <w:szCs w:val="24"/>
                <w:lang w:eastAsia="en-GB"/>
              </w:rPr>
              <w:t>437</w:t>
            </w:r>
          </w:p>
        </w:tc>
        <w:tc>
          <w:tcPr>
            <w:tcW w:w="1418" w:type="dxa"/>
            <w:tcBorders>
              <w:bottom w:val="single" w:sz="4" w:space="0" w:color="auto"/>
            </w:tcBorders>
          </w:tcPr>
          <w:p w:rsidR="002E396C" w:rsidRPr="00142054" w:rsidRDefault="002E396C" w:rsidP="00B2702E">
            <w:pPr>
              <w:autoSpaceDE w:val="0"/>
              <w:autoSpaceDN w:val="0"/>
              <w:adjustRightInd w:val="0"/>
              <w:spacing w:after="120"/>
              <w:jc w:val="right"/>
              <w:rPr>
                <w:rFonts w:ascii="Arial" w:hAnsi="Arial" w:cs="Arial"/>
                <w:szCs w:val="24"/>
                <w:lang w:eastAsia="en-GB"/>
              </w:rPr>
            </w:pPr>
            <w:r w:rsidRPr="00142054">
              <w:rPr>
                <w:rFonts w:ascii="Arial" w:hAnsi="Arial" w:cs="Arial"/>
                <w:szCs w:val="24"/>
                <w:lang w:eastAsia="en-GB"/>
              </w:rPr>
              <w:t>-</w:t>
            </w:r>
            <w:r>
              <w:rPr>
                <w:rFonts w:ascii="Arial" w:hAnsi="Arial" w:cs="Arial"/>
                <w:szCs w:val="24"/>
                <w:lang w:eastAsia="en-GB"/>
              </w:rPr>
              <w:t>11</w:t>
            </w:r>
          </w:p>
        </w:tc>
      </w:tr>
      <w:tr w:rsidR="002E396C" w:rsidRPr="005F5A17" w:rsidTr="00B2702E">
        <w:tc>
          <w:tcPr>
            <w:tcW w:w="4678" w:type="dxa"/>
          </w:tcPr>
          <w:p w:rsidR="002E396C" w:rsidRPr="00605186" w:rsidRDefault="002E396C" w:rsidP="00B2702E">
            <w:pPr>
              <w:autoSpaceDE w:val="0"/>
              <w:autoSpaceDN w:val="0"/>
              <w:adjustRightInd w:val="0"/>
              <w:spacing w:after="120"/>
              <w:rPr>
                <w:rFonts w:ascii="Arial" w:hAnsi="Arial" w:cs="Arial"/>
                <w:b/>
                <w:szCs w:val="24"/>
                <w:lang w:eastAsia="en-GB"/>
              </w:rPr>
            </w:pPr>
          </w:p>
        </w:tc>
        <w:tc>
          <w:tcPr>
            <w:tcW w:w="1559" w:type="dxa"/>
            <w:tcBorders>
              <w:top w:val="single" w:sz="4" w:space="0" w:color="auto"/>
            </w:tcBorders>
          </w:tcPr>
          <w:p w:rsidR="002E396C" w:rsidRPr="00142054" w:rsidRDefault="002E396C" w:rsidP="00B2702E">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w:t>
            </w:r>
            <w:r>
              <w:rPr>
                <w:rFonts w:ascii="Arial" w:hAnsi="Arial" w:cs="Arial"/>
                <w:b/>
                <w:szCs w:val="24"/>
                <w:lang w:eastAsia="en-GB"/>
              </w:rPr>
              <w:t>57,782</w:t>
            </w:r>
          </w:p>
        </w:tc>
        <w:tc>
          <w:tcPr>
            <w:tcW w:w="1559" w:type="dxa"/>
            <w:tcBorders>
              <w:top w:val="single" w:sz="4" w:space="0" w:color="auto"/>
            </w:tcBorders>
          </w:tcPr>
          <w:p w:rsidR="002E396C" w:rsidRPr="00605186" w:rsidRDefault="002E396C" w:rsidP="00B2702E">
            <w:pPr>
              <w:autoSpaceDE w:val="0"/>
              <w:autoSpaceDN w:val="0"/>
              <w:adjustRightInd w:val="0"/>
              <w:spacing w:after="120"/>
              <w:jc w:val="right"/>
              <w:rPr>
                <w:rFonts w:ascii="Arial" w:hAnsi="Arial" w:cs="Arial"/>
                <w:b/>
                <w:szCs w:val="24"/>
                <w:lang w:eastAsia="en-GB"/>
              </w:rPr>
            </w:pPr>
            <w:r w:rsidRPr="00605186">
              <w:rPr>
                <w:rFonts w:ascii="Arial" w:hAnsi="Arial" w:cs="Arial"/>
                <w:b/>
                <w:szCs w:val="24"/>
                <w:lang w:eastAsia="en-GB"/>
              </w:rPr>
              <w:t>-</w:t>
            </w:r>
            <w:r>
              <w:rPr>
                <w:rFonts w:ascii="Arial" w:hAnsi="Arial" w:cs="Arial"/>
                <w:b/>
                <w:szCs w:val="24"/>
                <w:lang w:eastAsia="en-GB"/>
              </w:rPr>
              <w:t>57,809</w:t>
            </w:r>
          </w:p>
        </w:tc>
        <w:tc>
          <w:tcPr>
            <w:tcW w:w="1418" w:type="dxa"/>
            <w:tcBorders>
              <w:top w:val="single" w:sz="4" w:space="0" w:color="auto"/>
            </w:tcBorders>
          </w:tcPr>
          <w:p w:rsidR="002E396C" w:rsidRPr="00142054" w:rsidRDefault="002E396C" w:rsidP="00B2702E">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-27</w:t>
            </w:r>
          </w:p>
        </w:tc>
      </w:tr>
      <w:tr w:rsidR="002E396C" w:rsidRPr="005F5A17" w:rsidTr="00B2702E">
        <w:tc>
          <w:tcPr>
            <w:tcW w:w="4678" w:type="dxa"/>
          </w:tcPr>
          <w:p w:rsidR="002E396C" w:rsidRPr="00605186" w:rsidRDefault="002E396C" w:rsidP="00B2702E">
            <w:pPr>
              <w:autoSpaceDE w:val="0"/>
              <w:autoSpaceDN w:val="0"/>
              <w:adjustRightInd w:val="0"/>
              <w:spacing w:after="120"/>
              <w:rPr>
                <w:rFonts w:ascii="Arial" w:hAnsi="Arial" w:cs="Arial"/>
                <w:b/>
                <w:szCs w:val="24"/>
                <w:lang w:eastAsia="en-GB"/>
              </w:rPr>
            </w:pPr>
          </w:p>
        </w:tc>
        <w:tc>
          <w:tcPr>
            <w:tcW w:w="1559" w:type="dxa"/>
            <w:tcBorders>
              <w:bottom w:val="single" w:sz="4" w:space="0" w:color="auto"/>
            </w:tcBorders>
          </w:tcPr>
          <w:p w:rsidR="002E396C" w:rsidRPr="00142054" w:rsidRDefault="002E396C" w:rsidP="00B2702E">
            <w:pPr>
              <w:autoSpaceDE w:val="0"/>
              <w:autoSpaceDN w:val="0"/>
              <w:adjustRightInd w:val="0"/>
              <w:spacing w:after="120"/>
              <w:jc w:val="right"/>
              <w:rPr>
                <w:rFonts w:ascii="Arial" w:hAnsi="Arial" w:cs="Arial"/>
                <w:b/>
                <w:szCs w:val="24"/>
                <w:lang w:eastAsia="en-GB"/>
              </w:rPr>
            </w:pPr>
          </w:p>
        </w:tc>
        <w:tc>
          <w:tcPr>
            <w:tcW w:w="1559" w:type="dxa"/>
            <w:tcBorders>
              <w:bottom w:val="single" w:sz="4" w:space="0" w:color="auto"/>
            </w:tcBorders>
          </w:tcPr>
          <w:p w:rsidR="002E396C" w:rsidRPr="00605186" w:rsidRDefault="002E396C" w:rsidP="00B2702E">
            <w:pPr>
              <w:autoSpaceDE w:val="0"/>
              <w:autoSpaceDN w:val="0"/>
              <w:adjustRightInd w:val="0"/>
              <w:spacing w:after="120"/>
              <w:jc w:val="right"/>
              <w:rPr>
                <w:rFonts w:ascii="Arial" w:hAnsi="Arial" w:cs="Arial"/>
                <w:b/>
                <w:szCs w:val="24"/>
                <w:lang w:eastAsia="en-GB"/>
              </w:rPr>
            </w:pPr>
          </w:p>
        </w:tc>
        <w:tc>
          <w:tcPr>
            <w:tcW w:w="1418" w:type="dxa"/>
            <w:tcBorders>
              <w:bottom w:val="single" w:sz="4" w:space="0" w:color="auto"/>
            </w:tcBorders>
          </w:tcPr>
          <w:p w:rsidR="002E396C" w:rsidRPr="00142054" w:rsidRDefault="002E396C" w:rsidP="00B2702E">
            <w:pPr>
              <w:autoSpaceDE w:val="0"/>
              <w:autoSpaceDN w:val="0"/>
              <w:adjustRightInd w:val="0"/>
              <w:spacing w:after="120"/>
              <w:jc w:val="right"/>
              <w:rPr>
                <w:rFonts w:ascii="Arial" w:hAnsi="Arial" w:cs="Arial"/>
                <w:b/>
                <w:szCs w:val="24"/>
                <w:lang w:eastAsia="en-GB"/>
              </w:rPr>
            </w:pPr>
          </w:p>
        </w:tc>
      </w:tr>
      <w:tr w:rsidR="002E396C" w:rsidRPr="00E93B66" w:rsidTr="00B2702E">
        <w:tc>
          <w:tcPr>
            <w:tcW w:w="4678" w:type="dxa"/>
          </w:tcPr>
          <w:p w:rsidR="002E396C" w:rsidRPr="00605186" w:rsidRDefault="002E396C" w:rsidP="00B2702E">
            <w:pPr>
              <w:autoSpaceDE w:val="0"/>
              <w:autoSpaceDN w:val="0"/>
              <w:adjustRightInd w:val="0"/>
              <w:spacing w:after="120"/>
              <w:rPr>
                <w:rFonts w:ascii="Arial" w:hAnsi="Arial" w:cs="Arial"/>
                <w:b/>
                <w:szCs w:val="24"/>
                <w:lang w:eastAsia="en-GB"/>
              </w:rPr>
            </w:pPr>
            <w:r w:rsidRPr="00605186">
              <w:rPr>
                <w:rFonts w:ascii="Arial" w:hAnsi="Arial" w:cs="Arial"/>
                <w:b/>
                <w:szCs w:val="24"/>
                <w:lang w:eastAsia="en-GB"/>
              </w:rPr>
              <w:t xml:space="preserve">Surplus </w:t>
            </w:r>
          </w:p>
        </w:tc>
        <w:tc>
          <w:tcPr>
            <w:tcW w:w="1559" w:type="dxa"/>
            <w:tcBorders>
              <w:top w:val="single" w:sz="4" w:space="0" w:color="auto"/>
              <w:bottom w:val="single" w:sz="4" w:space="0" w:color="auto"/>
            </w:tcBorders>
          </w:tcPr>
          <w:p w:rsidR="002E396C" w:rsidRPr="00142054" w:rsidRDefault="002E396C" w:rsidP="00B2702E">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0</w:t>
            </w:r>
          </w:p>
        </w:tc>
        <w:tc>
          <w:tcPr>
            <w:tcW w:w="1559" w:type="dxa"/>
            <w:tcBorders>
              <w:top w:val="single" w:sz="4" w:space="0" w:color="auto"/>
              <w:bottom w:val="single" w:sz="4" w:space="0" w:color="auto"/>
            </w:tcBorders>
          </w:tcPr>
          <w:p w:rsidR="002E396C" w:rsidRPr="00605186" w:rsidRDefault="002E396C" w:rsidP="00B2702E">
            <w:pPr>
              <w:autoSpaceDE w:val="0"/>
              <w:autoSpaceDN w:val="0"/>
              <w:adjustRightInd w:val="0"/>
              <w:spacing w:after="120"/>
              <w:jc w:val="right"/>
              <w:rPr>
                <w:rFonts w:ascii="Arial" w:hAnsi="Arial" w:cs="Arial"/>
                <w:b/>
                <w:szCs w:val="24"/>
                <w:lang w:eastAsia="en-GB"/>
              </w:rPr>
            </w:pPr>
            <w:r w:rsidRPr="00605186">
              <w:rPr>
                <w:rFonts w:ascii="Arial" w:hAnsi="Arial" w:cs="Arial"/>
                <w:b/>
                <w:szCs w:val="24"/>
                <w:lang w:eastAsia="en-GB"/>
              </w:rPr>
              <w:t>-</w:t>
            </w:r>
            <w:r>
              <w:rPr>
                <w:rFonts w:ascii="Arial" w:hAnsi="Arial" w:cs="Arial"/>
                <w:b/>
                <w:szCs w:val="24"/>
                <w:lang w:eastAsia="en-GB"/>
              </w:rPr>
              <w:t>2,013</w:t>
            </w:r>
          </w:p>
        </w:tc>
        <w:tc>
          <w:tcPr>
            <w:tcW w:w="1418" w:type="dxa"/>
            <w:tcBorders>
              <w:top w:val="single" w:sz="4" w:space="0" w:color="auto"/>
              <w:bottom w:val="single" w:sz="4" w:space="0" w:color="auto"/>
            </w:tcBorders>
          </w:tcPr>
          <w:p w:rsidR="002E396C" w:rsidRPr="00142054" w:rsidRDefault="002E396C" w:rsidP="00B2702E">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w:t>
            </w:r>
            <w:r>
              <w:rPr>
                <w:rFonts w:ascii="Arial" w:hAnsi="Arial" w:cs="Arial"/>
                <w:b/>
                <w:szCs w:val="24"/>
                <w:lang w:eastAsia="en-GB"/>
              </w:rPr>
              <w:t>2,013</w:t>
            </w:r>
          </w:p>
        </w:tc>
      </w:tr>
      <w:tr w:rsidR="002E396C" w:rsidRPr="00E93B66" w:rsidTr="00B2702E">
        <w:tc>
          <w:tcPr>
            <w:tcW w:w="4678" w:type="dxa"/>
          </w:tcPr>
          <w:p w:rsidR="002E396C" w:rsidRPr="00605186" w:rsidRDefault="002E396C" w:rsidP="00B2702E">
            <w:pPr>
              <w:autoSpaceDE w:val="0"/>
              <w:autoSpaceDN w:val="0"/>
              <w:adjustRightInd w:val="0"/>
              <w:spacing w:after="120"/>
              <w:rPr>
                <w:rFonts w:ascii="Arial" w:hAnsi="Arial" w:cs="Arial"/>
                <w:b/>
                <w:szCs w:val="24"/>
                <w:lang w:eastAsia="en-GB"/>
              </w:rPr>
            </w:pPr>
          </w:p>
        </w:tc>
        <w:tc>
          <w:tcPr>
            <w:tcW w:w="1559" w:type="dxa"/>
            <w:tcBorders>
              <w:top w:val="single" w:sz="4" w:space="0" w:color="auto"/>
            </w:tcBorders>
          </w:tcPr>
          <w:p w:rsidR="002E396C" w:rsidRPr="00142054" w:rsidRDefault="002E396C" w:rsidP="00B2702E">
            <w:pPr>
              <w:autoSpaceDE w:val="0"/>
              <w:autoSpaceDN w:val="0"/>
              <w:adjustRightInd w:val="0"/>
              <w:spacing w:after="120"/>
              <w:jc w:val="right"/>
              <w:rPr>
                <w:rFonts w:ascii="Arial" w:hAnsi="Arial" w:cs="Arial"/>
                <w:b/>
                <w:szCs w:val="24"/>
                <w:lang w:eastAsia="en-GB"/>
              </w:rPr>
            </w:pPr>
          </w:p>
        </w:tc>
        <w:tc>
          <w:tcPr>
            <w:tcW w:w="1559" w:type="dxa"/>
            <w:tcBorders>
              <w:top w:val="single" w:sz="4" w:space="0" w:color="auto"/>
            </w:tcBorders>
          </w:tcPr>
          <w:p w:rsidR="002E396C" w:rsidRPr="00605186" w:rsidRDefault="002E396C" w:rsidP="00B2702E">
            <w:pPr>
              <w:autoSpaceDE w:val="0"/>
              <w:autoSpaceDN w:val="0"/>
              <w:adjustRightInd w:val="0"/>
              <w:spacing w:after="120"/>
              <w:jc w:val="right"/>
              <w:rPr>
                <w:rFonts w:ascii="Arial" w:hAnsi="Arial" w:cs="Arial"/>
                <w:b/>
                <w:szCs w:val="24"/>
                <w:lang w:eastAsia="en-GB"/>
              </w:rPr>
            </w:pPr>
          </w:p>
        </w:tc>
        <w:tc>
          <w:tcPr>
            <w:tcW w:w="1418" w:type="dxa"/>
            <w:tcBorders>
              <w:top w:val="single" w:sz="4" w:space="0" w:color="auto"/>
            </w:tcBorders>
          </w:tcPr>
          <w:p w:rsidR="002E396C" w:rsidRPr="00142054" w:rsidRDefault="002E396C" w:rsidP="00B2702E">
            <w:pPr>
              <w:autoSpaceDE w:val="0"/>
              <w:autoSpaceDN w:val="0"/>
              <w:adjustRightInd w:val="0"/>
              <w:spacing w:after="120"/>
              <w:jc w:val="right"/>
              <w:rPr>
                <w:rFonts w:ascii="Arial" w:hAnsi="Arial" w:cs="Arial"/>
                <w:b/>
                <w:szCs w:val="24"/>
                <w:lang w:eastAsia="en-GB"/>
              </w:rPr>
            </w:pPr>
          </w:p>
        </w:tc>
      </w:tr>
      <w:tr w:rsidR="002E396C" w:rsidRPr="00605186" w:rsidTr="00B2702E">
        <w:tc>
          <w:tcPr>
            <w:tcW w:w="4678" w:type="dxa"/>
          </w:tcPr>
          <w:p w:rsidR="002E396C" w:rsidRPr="00605186" w:rsidRDefault="002E396C" w:rsidP="00B2702E">
            <w:pPr>
              <w:autoSpaceDE w:val="0"/>
              <w:autoSpaceDN w:val="0"/>
              <w:adjustRightInd w:val="0"/>
              <w:spacing w:after="120"/>
              <w:rPr>
                <w:rFonts w:ascii="Arial" w:hAnsi="Arial" w:cs="Arial"/>
                <w:szCs w:val="24"/>
                <w:lang w:eastAsia="en-GB"/>
              </w:rPr>
            </w:pPr>
            <w:r w:rsidRPr="00605186">
              <w:rPr>
                <w:rFonts w:ascii="Arial" w:hAnsi="Arial" w:cs="Arial"/>
                <w:szCs w:val="24"/>
                <w:lang w:eastAsia="en-GB"/>
              </w:rPr>
              <w:t xml:space="preserve">Actuarial </w:t>
            </w:r>
            <w:r>
              <w:rPr>
                <w:rFonts w:ascii="Arial" w:hAnsi="Arial" w:cs="Arial"/>
                <w:szCs w:val="24"/>
                <w:lang w:eastAsia="en-GB"/>
              </w:rPr>
              <w:t xml:space="preserve">loss </w:t>
            </w:r>
            <w:r w:rsidRPr="00605186">
              <w:rPr>
                <w:rFonts w:ascii="Arial" w:hAnsi="Arial" w:cs="Arial"/>
                <w:szCs w:val="24"/>
                <w:lang w:eastAsia="en-GB"/>
              </w:rPr>
              <w:t>on pension liability</w:t>
            </w:r>
          </w:p>
        </w:tc>
        <w:tc>
          <w:tcPr>
            <w:tcW w:w="1559"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sidRPr="00142054">
              <w:rPr>
                <w:rFonts w:ascii="Arial" w:hAnsi="Arial" w:cs="Arial"/>
                <w:szCs w:val="24"/>
                <w:lang w:eastAsia="en-GB"/>
              </w:rPr>
              <w:t>0</w:t>
            </w:r>
          </w:p>
        </w:tc>
        <w:tc>
          <w:tcPr>
            <w:tcW w:w="1559" w:type="dxa"/>
          </w:tcPr>
          <w:p w:rsidR="002E396C" w:rsidRPr="00605186"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474</w:t>
            </w:r>
          </w:p>
        </w:tc>
        <w:tc>
          <w:tcPr>
            <w:tcW w:w="1418"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474</w:t>
            </w:r>
          </w:p>
        </w:tc>
      </w:tr>
      <w:tr w:rsidR="002E396C" w:rsidRPr="00605186" w:rsidTr="00B2702E">
        <w:tc>
          <w:tcPr>
            <w:tcW w:w="4678" w:type="dxa"/>
          </w:tcPr>
          <w:p w:rsidR="002E396C" w:rsidRPr="00605186" w:rsidRDefault="002E396C" w:rsidP="00B2702E">
            <w:pPr>
              <w:autoSpaceDE w:val="0"/>
              <w:autoSpaceDN w:val="0"/>
              <w:adjustRightInd w:val="0"/>
              <w:spacing w:after="120"/>
              <w:rPr>
                <w:rFonts w:ascii="Arial" w:hAnsi="Arial" w:cs="Arial"/>
                <w:szCs w:val="24"/>
                <w:lang w:eastAsia="en-GB"/>
              </w:rPr>
            </w:pPr>
            <w:r>
              <w:rPr>
                <w:rFonts w:ascii="Arial" w:hAnsi="Arial" w:cs="Arial"/>
                <w:szCs w:val="24"/>
                <w:lang w:eastAsia="en-GB"/>
              </w:rPr>
              <w:t>Property valuation gains</w:t>
            </w:r>
          </w:p>
        </w:tc>
        <w:tc>
          <w:tcPr>
            <w:tcW w:w="1559"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0</w:t>
            </w:r>
          </w:p>
        </w:tc>
        <w:tc>
          <w:tcPr>
            <w:tcW w:w="1559" w:type="dxa"/>
          </w:tcPr>
          <w:p w:rsidR="002E396C" w:rsidRPr="00605186"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-11,947</w:t>
            </w:r>
          </w:p>
        </w:tc>
        <w:tc>
          <w:tcPr>
            <w:tcW w:w="1418" w:type="dxa"/>
          </w:tcPr>
          <w:p w:rsidR="002E396C" w:rsidRPr="00142054" w:rsidRDefault="002E396C" w:rsidP="00B2702E">
            <w:pPr>
              <w:autoSpaceDE w:val="0"/>
              <w:autoSpaceDN w:val="0"/>
              <w:adjustRightInd w:val="0"/>
              <w:spacing w:after="120"/>
              <w:jc w:val="right"/>
              <w:rPr>
                <w:rFonts w:ascii="Arial" w:hAnsi="Arial" w:cs="Arial"/>
                <w:szCs w:val="24"/>
                <w:lang w:eastAsia="en-GB"/>
              </w:rPr>
            </w:pPr>
            <w:r>
              <w:rPr>
                <w:rFonts w:ascii="Arial" w:hAnsi="Arial" w:cs="Arial"/>
                <w:szCs w:val="24"/>
                <w:lang w:eastAsia="en-GB"/>
              </w:rPr>
              <w:t>-11,947</w:t>
            </w:r>
          </w:p>
        </w:tc>
      </w:tr>
      <w:tr w:rsidR="002E396C" w:rsidRPr="00605186" w:rsidTr="00B2702E">
        <w:tc>
          <w:tcPr>
            <w:tcW w:w="4678" w:type="dxa"/>
          </w:tcPr>
          <w:p w:rsidR="002E396C" w:rsidRPr="00605186" w:rsidRDefault="002E396C" w:rsidP="00B2702E">
            <w:pPr>
              <w:autoSpaceDE w:val="0"/>
              <w:autoSpaceDN w:val="0"/>
              <w:adjustRightInd w:val="0"/>
              <w:spacing w:after="120"/>
              <w:rPr>
                <w:rFonts w:ascii="Arial" w:hAnsi="Arial" w:cs="Arial"/>
                <w:szCs w:val="24"/>
                <w:lang w:eastAsia="en-GB"/>
              </w:rPr>
            </w:pPr>
          </w:p>
        </w:tc>
        <w:tc>
          <w:tcPr>
            <w:tcW w:w="1559" w:type="dxa"/>
            <w:tcBorders>
              <w:bottom w:val="single" w:sz="4" w:space="0" w:color="auto"/>
            </w:tcBorders>
          </w:tcPr>
          <w:p w:rsidR="002E396C" w:rsidRPr="00142054" w:rsidRDefault="002E396C" w:rsidP="00B2702E">
            <w:pPr>
              <w:autoSpaceDE w:val="0"/>
              <w:autoSpaceDN w:val="0"/>
              <w:adjustRightInd w:val="0"/>
              <w:spacing w:after="120"/>
              <w:jc w:val="right"/>
              <w:rPr>
                <w:rFonts w:ascii="Arial" w:hAnsi="Arial" w:cs="Arial"/>
                <w:szCs w:val="24"/>
                <w:lang w:eastAsia="en-GB"/>
              </w:rPr>
            </w:pPr>
          </w:p>
        </w:tc>
        <w:tc>
          <w:tcPr>
            <w:tcW w:w="1559" w:type="dxa"/>
            <w:tcBorders>
              <w:bottom w:val="single" w:sz="4" w:space="0" w:color="auto"/>
            </w:tcBorders>
          </w:tcPr>
          <w:p w:rsidR="002E396C" w:rsidRPr="00605186" w:rsidRDefault="002E396C" w:rsidP="00B2702E">
            <w:pPr>
              <w:autoSpaceDE w:val="0"/>
              <w:autoSpaceDN w:val="0"/>
              <w:adjustRightInd w:val="0"/>
              <w:spacing w:after="120"/>
              <w:jc w:val="right"/>
              <w:rPr>
                <w:rFonts w:ascii="Arial" w:hAnsi="Arial" w:cs="Arial"/>
                <w:szCs w:val="24"/>
                <w:lang w:eastAsia="en-GB"/>
              </w:rPr>
            </w:pPr>
          </w:p>
        </w:tc>
        <w:tc>
          <w:tcPr>
            <w:tcW w:w="1418" w:type="dxa"/>
            <w:tcBorders>
              <w:bottom w:val="single" w:sz="4" w:space="0" w:color="auto"/>
            </w:tcBorders>
          </w:tcPr>
          <w:p w:rsidR="002E396C" w:rsidRPr="00142054" w:rsidRDefault="002E396C" w:rsidP="00B2702E">
            <w:pPr>
              <w:autoSpaceDE w:val="0"/>
              <w:autoSpaceDN w:val="0"/>
              <w:adjustRightInd w:val="0"/>
              <w:spacing w:after="120"/>
              <w:jc w:val="right"/>
              <w:rPr>
                <w:rFonts w:ascii="Arial" w:hAnsi="Arial" w:cs="Arial"/>
                <w:szCs w:val="24"/>
                <w:lang w:eastAsia="en-GB"/>
              </w:rPr>
            </w:pPr>
          </w:p>
        </w:tc>
      </w:tr>
      <w:tr w:rsidR="002E396C" w:rsidRPr="00605186" w:rsidTr="00B2702E">
        <w:tc>
          <w:tcPr>
            <w:tcW w:w="4678" w:type="dxa"/>
          </w:tcPr>
          <w:p w:rsidR="002E396C" w:rsidRPr="00605186" w:rsidRDefault="002E396C" w:rsidP="00B2702E">
            <w:pPr>
              <w:autoSpaceDE w:val="0"/>
              <w:autoSpaceDN w:val="0"/>
              <w:adjustRightInd w:val="0"/>
              <w:spacing w:after="120"/>
              <w:rPr>
                <w:rFonts w:ascii="Arial" w:hAnsi="Arial" w:cs="Arial"/>
                <w:b/>
                <w:szCs w:val="24"/>
                <w:lang w:eastAsia="en-GB"/>
              </w:rPr>
            </w:pPr>
            <w:r w:rsidRPr="00605186">
              <w:rPr>
                <w:rFonts w:ascii="Arial" w:hAnsi="Arial" w:cs="Arial"/>
                <w:b/>
                <w:szCs w:val="24"/>
                <w:lang w:eastAsia="en-GB"/>
              </w:rPr>
              <w:t>Contribution to reserves</w:t>
            </w:r>
          </w:p>
        </w:tc>
        <w:tc>
          <w:tcPr>
            <w:tcW w:w="1559" w:type="dxa"/>
            <w:tcBorders>
              <w:top w:val="single" w:sz="4" w:space="0" w:color="auto"/>
              <w:bottom w:val="single" w:sz="4" w:space="0" w:color="auto"/>
            </w:tcBorders>
          </w:tcPr>
          <w:p w:rsidR="002E396C" w:rsidRPr="00142054" w:rsidRDefault="002E396C" w:rsidP="00B2702E">
            <w:pPr>
              <w:autoSpaceDE w:val="0"/>
              <w:autoSpaceDN w:val="0"/>
              <w:adjustRightInd w:val="0"/>
              <w:spacing w:after="120"/>
              <w:jc w:val="right"/>
              <w:rPr>
                <w:rFonts w:ascii="Arial" w:hAnsi="Arial" w:cs="Arial"/>
                <w:b/>
                <w:szCs w:val="24"/>
                <w:lang w:eastAsia="en-GB"/>
              </w:rPr>
            </w:pPr>
            <w:r w:rsidRPr="00142054">
              <w:rPr>
                <w:rFonts w:ascii="Arial" w:hAnsi="Arial" w:cs="Arial"/>
                <w:b/>
                <w:szCs w:val="24"/>
                <w:lang w:eastAsia="en-GB"/>
              </w:rPr>
              <w:t>0</w:t>
            </w:r>
          </w:p>
        </w:tc>
        <w:tc>
          <w:tcPr>
            <w:tcW w:w="1559" w:type="dxa"/>
            <w:tcBorders>
              <w:top w:val="single" w:sz="4" w:space="0" w:color="auto"/>
              <w:bottom w:val="single" w:sz="4" w:space="0" w:color="auto"/>
            </w:tcBorders>
          </w:tcPr>
          <w:p w:rsidR="002E396C" w:rsidRPr="00605186" w:rsidRDefault="002E396C" w:rsidP="00B2702E">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-13,486</w:t>
            </w:r>
          </w:p>
        </w:tc>
        <w:tc>
          <w:tcPr>
            <w:tcW w:w="1418" w:type="dxa"/>
            <w:tcBorders>
              <w:top w:val="single" w:sz="4" w:space="0" w:color="auto"/>
              <w:bottom w:val="single" w:sz="4" w:space="0" w:color="auto"/>
            </w:tcBorders>
          </w:tcPr>
          <w:p w:rsidR="002E396C" w:rsidRPr="00142054" w:rsidRDefault="002E396C" w:rsidP="00B2702E">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-13,846</w:t>
            </w:r>
          </w:p>
        </w:tc>
      </w:tr>
      <w:tr w:rsidR="002E396C" w:rsidRPr="00E93B66" w:rsidTr="00B2702E">
        <w:tc>
          <w:tcPr>
            <w:tcW w:w="4678" w:type="dxa"/>
          </w:tcPr>
          <w:p w:rsidR="002E396C" w:rsidRPr="00605186" w:rsidRDefault="002E396C" w:rsidP="00B2702E">
            <w:pPr>
              <w:autoSpaceDE w:val="0"/>
              <w:autoSpaceDN w:val="0"/>
              <w:adjustRightInd w:val="0"/>
              <w:spacing w:after="120"/>
              <w:rPr>
                <w:rFonts w:ascii="Arial" w:hAnsi="Arial" w:cs="Arial"/>
                <w:b/>
                <w:szCs w:val="24"/>
                <w:lang w:eastAsia="en-GB"/>
              </w:rPr>
            </w:pPr>
          </w:p>
        </w:tc>
        <w:tc>
          <w:tcPr>
            <w:tcW w:w="1559" w:type="dxa"/>
            <w:tcBorders>
              <w:top w:val="single" w:sz="4" w:space="0" w:color="auto"/>
            </w:tcBorders>
          </w:tcPr>
          <w:p w:rsidR="002E396C" w:rsidRPr="00142054" w:rsidRDefault="002E396C" w:rsidP="00B2702E">
            <w:pPr>
              <w:autoSpaceDE w:val="0"/>
              <w:autoSpaceDN w:val="0"/>
              <w:adjustRightInd w:val="0"/>
              <w:spacing w:after="120"/>
              <w:jc w:val="right"/>
              <w:rPr>
                <w:rFonts w:ascii="Arial" w:hAnsi="Arial" w:cs="Arial"/>
                <w:b/>
                <w:szCs w:val="24"/>
                <w:lang w:eastAsia="en-GB"/>
              </w:rPr>
            </w:pPr>
          </w:p>
        </w:tc>
        <w:tc>
          <w:tcPr>
            <w:tcW w:w="1559" w:type="dxa"/>
            <w:tcBorders>
              <w:top w:val="single" w:sz="4" w:space="0" w:color="auto"/>
            </w:tcBorders>
          </w:tcPr>
          <w:p w:rsidR="002E396C" w:rsidRPr="00605186" w:rsidRDefault="002E396C" w:rsidP="00B2702E">
            <w:pPr>
              <w:autoSpaceDE w:val="0"/>
              <w:autoSpaceDN w:val="0"/>
              <w:adjustRightInd w:val="0"/>
              <w:spacing w:after="120"/>
              <w:jc w:val="right"/>
              <w:rPr>
                <w:rFonts w:ascii="Arial" w:hAnsi="Arial" w:cs="Arial"/>
                <w:b/>
                <w:szCs w:val="24"/>
                <w:lang w:eastAsia="en-GB"/>
              </w:rPr>
            </w:pPr>
          </w:p>
        </w:tc>
        <w:tc>
          <w:tcPr>
            <w:tcW w:w="1418" w:type="dxa"/>
            <w:tcBorders>
              <w:top w:val="single" w:sz="4" w:space="0" w:color="auto"/>
            </w:tcBorders>
          </w:tcPr>
          <w:p w:rsidR="002E396C" w:rsidRPr="00142054" w:rsidRDefault="002E396C" w:rsidP="00B2702E">
            <w:pPr>
              <w:autoSpaceDE w:val="0"/>
              <w:autoSpaceDN w:val="0"/>
              <w:adjustRightInd w:val="0"/>
              <w:spacing w:after="120"/>
              <w:jc w:val="right"/>
              <w:rPr>
                <w:rFonts w:ascii="Arial" w:hAnsi="Arial" w:cs="Arial"/>
                <w:b/>
                <w:szCs w:val="24"/>
                <w:lang w:eastAsia="en-GB"/>
              </w:rPr>
            </w:pPr>
          </w:p>
        </w:tc>
      </w:tr>
    </w:tbl>
    <w:p w:rsidR="00A54969" w:rsidRPr="00A54969" w:rsidRDefault="00A54969" w:rsidP="00A54969">
      <w:pPr>
        <w:numPr>
          <w:ilvl w:val="0"/>
          <w:numId w:val="2"/>
        </w:numPr>
        <w:autoSpaceDE w:val="0"/>
        <w:autoSpaceDN w:val="0"/>
        <w:adjustRightInd w:val="0"/>
        <w:spacing w:before="240" w:after="120"/>
        <w:jc w:val="both"/>
        <w:rPr>
          <w:rFonts w:ascii="Arial" w:hAnsi="Arial" w:cs="Arial"/>
          <w:b/>
          <w:szCs w:val="24"/>
          <w:lang w:eastAsia="en-GB"/>
        </w:rPr>
      </w:pPr>
      <w:r w:rsidRPr="00A54969">
        <w:rPr>
          <w:rFonts w:ascii="Arial" w:hAnsi="Arial" w:cs="Arial"/>
          <w:b/>
          <w:szCs w:val="24"/>
          <w:lang w:eastAsia="en-GB"/>
        </w:rPr>
        <w:t>Other supporting information</w:t>
      </w:r>
    </w:p>
    <w:p w:rsidR="00A54969" w:rsidRDefault="00A54969" w:rsidP="00A54969">
      <w:pPr>
        <w:spacing w:before="240" w:after="120"/>
        <w:ind w:left="170"/>
        <w:jc w:val="both"/>
        <w:rPr>
          <w:rFonts w:ascii="Arial" w:hAnsi="Arial" w:cs="Arial"/>
          <w:szCs w:val="24"/>
          <w:lang w:val="en-US"/>
        </w:rPr>
      </w:pPr>
      <w:r>
        <w:rPr>
          <w:rFonts w:ascii="Arial" w:hAnsi="Arial" w:cs="Arial"/>
          <w:szCs w:val="24"/>
          <w:lang w:val="en-US"/>
        </w:rPr>
        <w:t>The Audit Committee Agenda includes items to support the approval of the Statement of Accounts:</w:t>
      </w:r>
    </w:p>
    <w:p w:rsidR="00A54969" w:rsidRDefault="008D36E1" w:rsidP="00A54969">
      <w:pPr>
        <w:pStyle w:val="ListParagraph"/>
        <w:numPr>
          <w:ilvl w:val="0"/>
          <w:numId w:val="28"/>
        </w:numPr>
        <w:spacing w:before="240" w:after="120"/>
        <w:jc w:val="both"/>
        <w:rPr>
          <w:sz w:val="24"/>
          <w:szCs w:val="24"/>
          <w:lang w:val="en-US"/>
        </w:rPr>
      </w:pPr>
      <w:r>
        <w:rPr>
          <w:sz w:val="24"/>
          <w:szCs w:val="24"/>
          <w:lang w:val="en-US"/>
        </w:rPr>
        <w:t xml:space="preserve">Ernst &amp; Young’s </w:t>
      </w:r>
      <w:r w:rsidR="00A54969" w:rsidRPr="00A54969">
        <w:rPr>
          <w:sz w:val="24"/>
          <w:szCs w:val="24"/>
          <w:lang w:val="en-US"/>
        </w:rPr>
        <w:t>report summarizing the key findings from the external audit of the statement of accounts</w:t>
      </w:r>
    </w:p>
    <w:p w:rsidR="00A33E51" w:rsidRDefault="00A313A9" w:rsidP="00A54969">
      <w:pPr>
        <w:pStyle w:val="ListParagraph"/>
        <w:numPr>
          <w:ilvl w:val="0"/>
          <w:numId w:val="28"/>
        </w:numPr>
        <w:spacing w:before="240" w:after="120"/>
        <w:jc w:val="both"/>
        <w:rPr>
          <w:sz w:val="24"/>
          <w:szCs w:val="24"/>
          <w:lang w:val="en-US"/>
        </w:rPr>
      </w:pPr>
      <w:r>
        <w:rPr>
          <w:sz w:val="24"/>
          <w:szCs w:val="24"/>
          <w:lang w:val="en-US"/>
        </w:rPr>
        <w:t xml:space="preserve">An </w:t>
      </w:r>
      <w:r w:rsidR="00A33E51">
        <w:rPr>
          <w:sz w:val="24"/>
          <w:szCs w:val="24"/>
          <w:lang w:val="en-US"/>
        </w:rPr>
        <w:t xml:space="preserve">annual </w:t>
      </w:r>
      <w:r>
        <w:rPr>
          <w:sz w:val="24"/>
          <w:szCs w:val="24"/>
          <w:lang w:val="en-US"/>
        </w:rPr>
        <w:t xml:space="preserve">internal audit </w:t>
      </w:r>
      <w:r w:rsidR="00A33E51">
        <w:rPr>
          <w:sz w:val="24"/>
          <w:szCs w:val="24"/>
          <w:lang w:val="en-US"/>
        </w:rPr>
        <w:t xml:space="preserve">report </w:t>
      </w:r>
      <w:r>
        <w:rPr>
          <w:sz w:val="24"/>
          <w:szCs w:val="24"/>
          <w:lang w:val="en-US"/>
        </w:rPr>
        <w:t xml:space="preserve">and opinion </w:t>
      </w:r>
      <w:r w:rsidR="00A33E51">
        <w:rPr>
          <w:sz w:val="24"/>
          <w:szCs w:val="24"/>
          <w:lang w:val="en-US"/>
        </w:rPr>
        <w:t xml:space="preserve">from the London Borough of </w:t>
      </w:r>
      <w:proofErr w:type="spellStart"/>
      <w:r w:rsidR="00A33E51">
        <w:rPr>
          <w:sz w:val="24"/>
          <w:szCs w:val="24"/>
          <w:lang w:val="en-US"/>
        </w:rPr>
        <w:t>Hillingdon</w:t>
      </w:r>
      <w:proofErr w:type="spellEnd"/>
    </w:p>
    <w:p w:rsidR="008D36E1" w:rsidRDefault="008D36E1" w:rsidP="008D36E1">
      <w:pPr>
        <w:pStyle w:val="ListParagraph"/>
        <w:numPr>
          <w:ilvl w:val="0"/>
          <w:numId w:val="28"/>
        </w:numPr>
        <w:spacing w:before="240" w:after="120"/>
        <w:jc w:val="both"/>
        <w:rPr>
          <w:sz w:val="24"/>
          <w:szCs w:val="24"/>
          <w:lang w:val="en-US"/>
        </w:rPr>
      </w:pPr>
      <w:r>
        <w:rPr>
          <w:sz w:val="24"/>
          <w:szCs w:val="24"/>
          <w:lang w:val="en-US"/>
        </w:rPr>
        <w:t>The risk register highlighting the mitigation and controls in relation to key risks</w:t>
      </w:r>
    </w:p>
    <w:p w:rsidR="00A313A9" w:rsidRPr="008119F7" w:rsidRDefault="00A313A9" w:rsidP="00A313A9">
      <w:pPr>
        <w:pStyle w:val="ListParagraph"/>
        <w:numPr>
          <w:ilvl w:val="0"/>
          <w:numId w:val="28"/>
        </w:numPr>
        <w:spacing w:before="240" w:after="120"/>
        <w:jc w:val="both"/>
        <w:rPr>
          <w:sz w:val="24"/>
          <w:szCs w:val="24"/>
          <w:lang w:val="en-US"/>
        </w:rPr>
      </w:pPr>
      <w:r>
        <w:rPr>
          <w:sz w:val="24"/>
          <w:szCs w:val="24"/>
          <w:lang w:val="en-US"/>
        </w:rPr>
        <w:t>Annual Assurance Statements from Chief Officer’s and Senior Managers</w:t>
      </w:r>
    </w:p>
    <w:p w:rsidR="006A5089" w:rsidRPr="007A3E6A" w:rsidRDefault="006A5089" w:rsidP="00E93B66">
      <w:pPr>
        <w:numPr>
          <w:ilvl w:val="0"/>
          <w:numId w:val="2"/>
        </w:numPr>
        <w:spacing w:before="240" w:after="120"/>
        <w:jc w:val="both"/>
        <w:rPr>
          <w:i/>
        </w:rPr>
      </w:pPr>
      <w:r w:rsidRPr="007A3E6A">
        <w:rPr>
          <w:rFonts w:ascii="Arial" w:hAnsi="Arial" w:cs="Arial"/>
          <w:b/>
          <w:szCs w:val="24"/>
          <w:lang w:val="en-US"/>
        </w:rPr>
        <w:t xml:space="preserve">Financial Implications </w:t>
      </w:r>
      <w:r w:rsidRPr="007A3E6A">
        <w:rPr>
          <w:rFonts w:ascii="Arial" w:hAnsi="Arial" w:cs="Arial"/>
          <w:szCs w:val="24"/>
          <w:lang w:val="en-US"/>
        </w:rPr>
        <w:t xml:space="preserve">– </w:t>
      </w:r>
      <w:r w:rsidR="00CC6DE7">
        <w:rPr>
          <w:rFonts w:ascii="Arial" w:hAnsi="Arial" w:cs="Arial"/>
          <w:szCs w:val="24"/>
          <w:lang w:val="en-US"/>
        </w:rPr>
        <w:t>The financial position and performance are provided in the Statement of Accounts</w:t>
      </w:r>
      <w:r w:rsidRPr="007A3E6A">
        <w:rPr>
          <w:rFonts w:ascii="Arial" w:hAnsi="Arial" w:cs="Arial"/>
          <w:i/>
          <w:szCs w:val="24"/>
          <w:lang w:val="en-US"/>
        </w:rPr>
        <w:t>.</w:t>
      </w:r>
    </w:p>
    <w:p w:rsidR="006A5089" w:rsidRPr="007A3E6A" w:rsidRDefault="006A5089" w:rsidP="00E93B66">
      <w:pPr>
        <w:numPr>
          <w:ilvl w:val="0"/>
          <w:numId w:val="2"/>
        </w:numPr>
        <w:spacing w:before="240" w:after="120"/>
        <w:jc w:val="both"/>
        <w:rPr>
          <w:rFonts w:ascii="Arial" w:hAnsi="Arial" w:cs="Arial"/>
          <w:b/>
          <w:szCs w:val="24"/>
          <w:lang w:val="en-US"/>
        </w:rPr>
      </w:pPr>
      <w:r w:rsidRPr="007A3E6A">
        <w:rPr>
          <w:rFonts w:ascii="Arial" w:hAnsi="Arial" w:cs="Arial"/>
          <w:b/>
          <w:szCs w:val="24"/>
          <w:lang w:val="en-US"/>
        </w:rPr>
        <w:t xml:space="preserve">Legal Implications </w:t>
      </w:r>
      <w:r w:rsidRPr="007A3E6A">
        <w:rPr>
          <w:rFonts w:ascii="Arial" w:hAnsi="Arial" w:cs="Arial"/>
          <w:szCs w:val="24"/>
          <w:lang w:val="en-US"/>
        </w:rPr>
        <w:t>–</w:t>
      </w:r>
      <w:r w:rsidR="003877CB">
        <w:rPr>
          <w:rFonts w:ascii="Arial" w:hAnsi="Arial" w:cs="Arial"/>
          <w:szCs w:val="24"/>
          <w:lang w:val="en-US"/>
        </w:rPr>
        <w:t xml:space="preserve"> It is a statutory requirement for the Authority to produce a</w:t>
      </w:r>
      <w:r w:rsidR="003E5C54">
        <w:rPr>
          <w:rFonts w:ascii="Arial" w:hAnsi="Arial" w:cs="Arial"/>
          <w:szCs w:val="24"/>
          <w:lang w:val="en-US"/>
        </w:rPr>
        <w:t>nnual financial statements</w:t>
      </w:r>
      <w:r w:rsidRPr="007A3E6A">
        <w:rPr>
          <w:rFonts w:ascii="Arial" w:hAnsi="Arial" w:cs="Arial"/>
          <w:b/>
          <w:szCs w:val="24"/>
          <w:lang w:val="en-US"/>
        </w:rPr>
        <w:t>.</w:t>
      </w:r>
    </w:p>
    <w:p w:rsidR="000E2808" w:rsidRPr="00E93B66" w:rsidRDefault="006A5089" w:rsidP="00E93B66">
      <w:pPr>
        <w:numPr>
          <w:ilvl w:val="0"/>
          <w:numId w:val="2"/>
        </w:numPr>
        <w:spacing w:before="240" w:after="120"/>
        <w:jc w:val="both"/>
        <w:rPr>
          <w:rFonts w:ascii="Arial" w:hAnsi="Arial" w:cs="Arial"/>
          <w:szCs w:val="24"/>
          <w:lang w:val="en-US"/>
        </w:rPr>
      </w:pPr>
      <w:r w:rsidRPr="005C0616">
        <w:rPr>
          <w:rFonts w:ascii="Arial" w:hAnsi="Arial" w:cs="Arial"/>
          <w:b/>
          <w:szCs w:val="24"/>
          <w:lang w:val="en-US"/>
        </w:rPr>
        <w:lastRenderedPageBreak/>
        <w:t>Impact on Joint Waste Management Strategy</w:t>
      </w:r>
      <w:r w:rsidRPr="005C0616">
        <w:rPr>
          <w:rFonts w:ascii="Arial" w:hAnsi="Arial" w:cs="Arial"/>
          <w:b/>
          <w:i/>
          <w:szCs w:val="24"/>
          <w:lang w:val="en-US"/>
        </w:rPr>
        <w:t xml:space="preserve"> </w:t>
      </w:r>
      <w:r w:rsidRPr="005C0616">
        <w:rPr>
          <w:rFonts w:ascii="Arial" w:hAnsi="Arial" w:cs="Arial"/>
          <w:i/>
          <w:szCs w:val="24"/>
          <w:lang w:val="en-US"/>
        </w:rPr>
        <w:t>–</w:t>
      </w:r>
      <w:r w:rsidR="003E5C54" w:rsidRPr="005C0616">
        <w:rPr>
          <w:rFonts w:ascii="Arial" w:hAnsi="Arial" w:cs="Arial"/>
          <w:szCs w:val="24"/>
          <w:lang w:val="en-US"/>
        </w:rPr>
        <w:t xml:space="preserve"> </w:t>
      </w:r>
      <w:r w:rsidR="00E52701" w:rsidRPr="00E52701">
        <w:t xml:space="preserve"> </w:t>
      </w:r>
      <w:r w:rsidR="00E52701" w:rsidRPr="00E52701">
        <w:rPr>
          <w:rFonts w:ascii="Arial" w:hAnsi="Arial" w:cs="Arial"/>
          <w:szCs w:val="24"/>
          <w:lang w:val="en-US"/>
        </w:rPr>
        <w:t xml:space="preserve">The </w:t>
      </w:r>
      <w:r w:rsidR="00E52701">
        <w:rPr>
          <w:rFonts w:ascii="Arial" w:hAnsi="Arial" w:cs="Arial"/>
          <w:szCs w:val="24"/>
          <w:lang w:val="en-US"/>
        </w:rPr>
        <w:t xml:space="preserve">draft Statement of Accounts set out in this report </w:t>
      </w:r>
      <w:r w:rsidR="00E52701" w:rsidRPr="00E52701">
        <w:rPr>
          <w:rFonts w:ascii="Arial" w:hAnsi="Arial" w:cs="Arial"/>
          <w:szCs w:val="24"/>
          <w:lang w:val="en-US"/>
        </w:rPr>
        <w:t>demonstrate</w:t>
      </w:r>
      <w:r w:rsidR="00E52701">
        <w:rPr>
          <w:rFonts w:ascii="Arial" w:hAnsi="Arial" w:cs="Arial"/>
          <w:szCs w:val="24"/>
          <w:lang w:val="en-US"/>
        </w:rPr>
        <w:t>s</w:t>
      </w:r>
      <w:r w:rsidR="00E52701" w:rsidRPr="00E52701">
        <w:rPr>
          <w:rFonts w:ascii="Arial" w:hAnsi="Arial" w:cs="Arial"/>
          <w:szCs w:val="24"/>
          <w:lang w:val="en-US"/>
        </w:rPr>
        <w:t xml:space="preserve"> that the Authority is supporting the borough</w:t>
      </w:r>
      <w:r w:rsidR="00E52701">
        <w:rPr>
          <w:rFonts w:ascii="Arial" w:hAnsi="Arial" w:cs="Arial"/>
          <w:szCs w:val="24"/>
          <w:lang w:val="en-US"/>
        </w:rPr>
        <w:t>s</w:t>
      </w:r>
      <w:r w:rsidR="00E52701" w:rsidRPr="00E52701">
        <w:rPr>
          <w:rFonts w:ascii="Arial" w:hAnsi="Arial" w:cs="Arial"/>
          <w:szCs w:val="24"/>
          <w:lang w:val="en-US"/>
        </w:rPr>
        <w:t xml:space="preserve"> to deliver improved value for money to its </w:t>
      </w:r>
      <w:r w:rsidR="00E46B21">
        <w:rPr>
          <w:rFonts w:ascii="Arial" w:hAnsi="Arial" w:cs="Arial"/>
          <w:szCs w:val="24"/>
          <w:lang w:val="en-US"/>
        </w:rPr>
        <w:t>residents in line with Policy 7</w:t>
      </w:r>
      <w:r w:rsidR="00E52701">
        <w:rPr>
          <w:rFonts w:ascii="Arial" w:hAnsi="Arial" w:cs="Arial"/>
          <w:szCs w:val="24"/>
          <w:lang w:val="en-US"/>
        </w:rPr>
        <w:t>and demonstrate</w:t>
      </w:r>
      <w:r w:rsidR="00E46B21">
        <w:rPr>
          <w:rFonts w:ascii="Arial" w:hAnsi="Arial" w:cs="Arial"/>
          <w:szCs w:val="24"/>
          <w:lang w:val="en-US"/>
        </w:rPr>
        <w:t>s</w:t>
      </w:r>
      <w:r w:rsidR="00E52701">
        <w:rPr>
          <w:rFonts w:ascii="Arial" w:hAnsi="Arial" w:cs="Arial"/>
          <w:szCs w:val="24"/>
          <w:lang w:val="en-US"/>
        </w:rPr>
        <w:t xml:space="preserve"> partnership working as set out in Policy 8</w:t>
      </w:r>
    </w:p>
    <w:p w:rsidR="000D1708" w:rsidRDefault="00E52701" w:rsidP="00E93B66">
      <w:pPr>
        <w:spacing w:before="240" w:after="120"/>
        <w:ind w:left="170"/>
        <w:jc w:val="both"/>
        <w:rPr>
          <w:rFonts w:ascii="Arial" w:hAnsi="Arial" w:cs="Arial"/>
          <w:szCs w:val="24"/>
          <w:lang w:val="en-US"/>
        </w:rPr>
      </w:pPr>
      <w:r w:rsidRPr="00E93B66">
        <w:rPr>
          <w:rFonts w:ascii="Arial" w:hAnsi="Arial" w:cs="Arial"/>
          <w:szCs w:val="24"/>
          <w:lang w:val="en-US"/>
        </w:rPr>
        <w:t>Policy 7: The West London Waste Authority</w:t>
      </w:r>
      <w:r w:rsidRPr="00E93B66">
        <w:rPr>
          <w:rFonts w:ascii="Arial" w:hAnsi="Arial" w:cs="Arial"/>
          <w:i/>
          <w:szCs w:val="24"/>
          <w:lang w:val="en-US"/>
        </w:rPr>
        <w:t xml:space="preserve"> a</w:t>
      </w:r>
      <w:r w:rsidRPr="00E93B66">
        <w:rPr>
          <w:rFonts w:ascii="Arial" w:hAnsi="Arial" w:cs="Arial"/>
          <w:szCs w:val="24"/>
          <w:lang w:val="en-US"/>
        </w:rPr>
        <w:t>nd con</w:t>
      </w:r>
      <w:r w:rsidRPr="00E52701">
        <w:rPr>
          <w:rFonts w:ascii="Arial" w:hAnsi="Arial" w:cs="Arial"/>
        </w:rPr>
        <w:t>s</w:t>
      </w:r>
      <w:r w:rsidRPr="00E93B66">
        <w:rPr>
          <w:rFonts w:ascii="Arial" w:hAnsi="Arial" w:cs="Arial"/>
          <w:szCs w:val="24"/>
          <w:lang w:val="en-US"/>
        </w:rPr>
        <w:t>tituent Boroughs will seek to provide waste management services that offer good value, that provide customer satisfaction and that meet and exceed legislative requirements</w:t>
      </w:r>
    </w:p>
    <w:p w:rsidR="00E52701" w:rsidRDefault="00E52701" w:rsidP="00E93B66">
      <w:pPr>
        <w:spacing w:before="240" w:after="120"/>
        <w:ind w:left="170"/>
        <w:jc w:val="both"/>
        <w:rPr>
          <w:rFonts w:ascii="Arial" w:hAnsi="Arial" w:cs="Arial"/>
        </w:rPr>
      </w:pPr>
      <w:r w:rsidRPr="00E93B66">
        <w:rPr>
          <w:rFonts w:ascii="Arial" w:hAnsi="Arial" w:cs="Arial"/>
          <w:szCs w:val="24"/>
          <w:lang w:val="en-US"/>
        </w:rPr>
        <w:t>Policy 8: The West London Waste Authority and constituent Boroughs will w</w:t>
      </w:r>
      <w:r w:rsidRPr="000E2808">
        <w:rPr>
          <w:rFonts w:ascii="Arial" w:hAnsi="Arial" w:cs="Arial"/>
        </w:rPr>
        <w:t>ork together to achieve the aims of this strategy and are committed to share equitably the costs and rewards of achieving its aims.</w:t>
      </w:r>
    </w:p>
    <w:p w:rsidR="000E2808" w:rsidRPr="000E2808" w:rsidRDefault="000E2808" w:rsidP="00E93B66">
      <w:pPr>
        <w:spacing w:before="240" w:after="120"/>
        <w:jc w:val="both"/>
        <w:rPr>
          <w:rFonts w:ascii="Arial" w:hAnsi="Arial" w:cs="Arial"/>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784955" w:rsidTr="00951B2B">
        <w:tc>
          <w:tcPr>
            <w:tcW w:w="2410" w:type="dxa"/>
          </w:tcPr>
          <w:p w:rsidR="00BC0B22" w:rsidRPr="000E2808" w:rsidRDefault="00BC0B22" w:rsidP="00F529F1">
            <w:pPr>
              <w:spacing w:before="120" w:after="120"/>
              <w:ind w:right="113"/>
              <w:rPr>
                <w:rFonts w:ascii="Arial" w:hAnsi="Arial" w:cs="Arial"/>
                <w:szCs w:val="24"/>
              </w:rPr>
            </w:pPr>
            <w:r w:rsidRPr="000E2808">
              <w:rPr>
                <w:rFonts w:ascii="Arial" w:hAnsi="Arial" w:cs="Arial"/>
                <w:szCs w:val="24"/>
              </w:rPr>
              <w:t>Contact Officers</w:t>
            </w:r>
          </w:p>
          <w:p w:rsidR="00C6030D" w:rsidRPr="000E2808" w:rsidRDefault="00C6030D" w:rsidP="00E04143">
            <w:pPr>
              <w:spacing w:before="120" w:after="120"/>
              <w:ind w:right="113"/>
              <w:rPr>
                <w:rFonts w:ascii="Arial" w:hAnsi="Arial" w:cs="Arial"/>
                <w:i/>
                <w:szCs w:val="24"/>
              </w:rPr>
            </w:pPr>
          </w:p>
        </w:tc>
        <w:tc>
          <w:tcPr>
            <w:tcW w:w="7938" w:type="dxa"/>
          </w:tcPr>
          <w:p w:rsidR="004F22C5" w:rsidRPr="000E2808" w:rsidRDefault="007A3E6A" w:rsidP="00F529F1">
            <w:pPr>
              <w:spacing w:before="120"/>
              <w:ind w:right="113"/>
              <w:rPr>
                <w:rFonts w:ascii="Arial" w:hAnsi="Arial" w:cs="Arial"/>
                <w:szCs w:val="24"/>
              </w:rPr>
            </w:pPr>
            <w:r w:rsidRPr="000E2808">
              <w:rPr>
                <w:rFonts w:ascii="Arial" w:hAnsi="Arial" w:cs="Arial"/>
                <w:szCs w:val="24"/>
              </w:rPr>
              <w:t>Jay Patel</w:t>
            </w:r>
            <w:r w:rsidR="004F22C5" w:rsidRPr="000E2808">
              <w:rPr>
                <w:rFonts w:ascii="Arial" w:hAnsi="Arial" w:cs="Arial"/>
                <w:szCs w:val="24"/>
              </w:rPr>
              <w:t xml:space="preserve">, Head of Finance  </w:t>
            </w:r>
            <w:r w:rsidR="00141753" w:rsidRPr="000E2808">
              <w:rPr>
                <w:rFonts w:ascii="Arial" w:hAnsi="Arial" w:cs="Arial"/>
                <w:szCs w:val="24"/>
              </w:rPr>
              <w:tab/>
            </w:r>
            <w:r w:rsidR="00141753" w:rsidRPr="000E2808">
              <w:rPr>
                <w:rFonts w:ascii="Arial" w:hAnsi="Arial" w:cs="Arial"/>
                <w:szCs w:val="24"/>
              </w:rPr>
              <w:tab/>
            </w:r>
            <w:r w:rsidR="00141753" w:rsidRPr="000E2808">
              <w:rPr>
                <w:rFonts w:ascii="Arial" w:hAnsi="Arial" w:cs="Arial"/>
                <w:szCs w:val="24"/>
              </w:rPr>
              <w:tab/>
            </w:r>
            <w:r w:rsidR="008119F7">
              <w:rPr>
                <w:rFonts w:ascii="Arial" w:hAnsi="Arial" w:cs="Arial"/>
                <w:szCs w:val="24"/>
              </w:rPr>
              <w:t>020 8825 9524</w:t>
            </w:r>
          </w:p>
          <w:p w:rsidR="007A3E6A" w:rsidRDefault="00A41EB4" w:rsidP="00F529F1">
            <w:pPr>
              <w:spacing w:before="120"/>
              <w:ind w:right="113"/>
              <w:rPr>
                <w:rFonts w:ascii="Arial" w:hAnsi="Arial" w:cs="Arial"/>
                <w:szCs w:val="24"/>
              </w:rPr>
            </w:pPr>
            <w:hyperlink r:id="rId9" w:history="1">
              <w:r w:rsidR="007A3E6A" w:rsidRPr="007A6CBD">
                <w:rPr>
                  <w:rStyle w:val="Hyperlink"/>
                  <w:rFonts w:ascii="Arial" w:hAnsi="Arial" w:cs="Arial"/>
                  <w:szCs w:val="24"/>
                </w:rPr>
                <w:t>jaypatel@westlondonwaste.gov.uk</w:t>
              </w:r>
            </w:hyperlink>
          </w:p>
          <w:p w:rsidR="00141753" w:rsidRPr="007A3E6A" w:rsidRDefault="000E6768" w:rsidP="00141753">
            <w:pPr>
              <w:spacing w:before="120"/>
              <w:ind w:right="113"/>
              <w:rPr>
                <w:rFonts w:ascii="Arial" w:hAnsi="Arial"/>
              </w:rPr>
            </w:pPr>
            <w:r w:rsidRPr="007A3E6A">
              <w:rPr>
                <w:rFonts w:ascii="Arial" w:hAnsi="Arial"/>
              </w:rPr>
              <w:t xml:space="preserve">Ian O’Donnell, </w:t>
            </w:r>
            <w:r w:rsidR="006E6317" w:rsidRPr="007A3E6A">
              <w:rPr>
                <w:rFonts w:ascii="Arial" w:hAnsi="Arial"/>
              </w:rPr>
              <w:t xml:space="preserve"> </w:t>
            </w:r>
            <w:r w:rsidR="00C6030D" w:rsidRPr="007A3E6A">
              <w:rPr>
                <w:rFonts w:ascii="Arial" w:hAnsi="Arial"/>
              </w:rPr>
              <w:t xml:space="preserve">Treasurer   </w:t>
            </w:r>
            <w:r w:rsidR="00141753" w:rsidRPr="007A3E6A">
              <w:rPr>
                <w:rFonts w:ascii="Arial" w:hAnsi="Arial" w:cs="Arial"/>
                <w:szCs w:val="24"/>
              </w:rPr>
              <w:tab/>
            </w:r>
            <w:r w:rsidR="00141753" w:rsidRPr="007A3E6A">
              <w:rPr>
                <w:rFonts w:ascii="Arial" w:hAnsi="Arial" w:cs="Arial"/>
                <w:szCs w:val="24"/>
              </w:rPr>
              <w:tab/>
            </w:r>
            <w:r w:rsidR="00141753" w:rsidRPr="007A3E6A">
              <w:rPr>
                <w:rFonts w:ascii="Arial" w:hAnsi="Arial" w:cs="Arial"/>
                <w:szCs w:val="24"/>
              </w:rPr>
              <w:tab/>
            </w:r>
            <w:r w:rsidR="00141753" w:rsidRPr="007A3E6A">
              <w:rPr>
                <w:rFonts w:ascii="Arial" w:hAnsi="Arial"/>
              </w:rPr>
              <w:t>020 8825 5269</w:t>
            </w:r>
          </w:p>
          <w:p w:rsidR="000E6768" w:rsidRDefault="00A41EB4" w:rsidP="00141753">
            <w:pPr>
              <w:spacing w:before="120"/>
              <w:ind w:right="113"/>
              <w:rPr>
                <w:rFonts w:ascii="Arial" w:hAnsi="Arial"/>
              </w:rPr>
            </w:pPr>
            <w:hyperlink r:id="rId10" w:history="1">
              <w:r w:rsidR="000E6768" w:rsidRPr="007A3E6A">
                <w:rPr>
                  <w:rStyle w:val="Hyperlink"/>
                  <w:rFonts w:ascii="Arial" w:hAnsi="Arial"/>
                </w:rPr>
                <w:t>Odonnelli@ealing.gov.uk</w:t>
              </w:r>
            </w:hyperlink>
            <w:r w:rsidR="00C6030D" w:rsidRPr="007A3E6A">
              <w:rPr>
                <w:rFonts w:ascii="Arial" w:hAnsi="Arial"/>
              </w:rPr>
              <w:t xml:space="preserve">             </w:t>
            </w:r>
            <w:r w:rsidR="000E6768" w:rsidRPr="007A3E6A">
              <w:rPr>
                <w:rFonts w:ascii="Arial" w:hAnsi="Arial"/>
              </w:rPr>
              <w:t xml:space="preserve">   </w:t>
            </w:r>
            <w:r w:rsidR="00C6030D" w:rsidRPr="007A3E6A">
              <w:rPr>
                <w:rFonts w:ascii="Arial" w:hAnsi="Arial"/>
              </w:rPr>
              <w:t xml:space="preserve"> </w:t>
            </w:r>
            <w:r w:rsidR="000E6768" w:rsidRPr="007A3E6A">
              <w:rPr>
                <w:rFonts w:ascii="Arial" w:hAnsi="Arial"/>
              </w:rPr>
              <w:t xml:space="preserve">             </w:t>
            </w:r>
            <w:r w:rsidR="00C6030D" w:rsidRPr="007A3E6A">
              <w:rPr>
                <w:rFonts w:ascii="Arial" w:hAnsi="Arial"/>
              </w:rPr>
              <w:t xml:space="preserve">      </w:t>
            </w:r>
          </w:p>
          <w:p w:rsidR="00141753" w:rsidRPr="007A3E6A" w:rsidRDefault="00141753" w:rsidP="00141753">
            <w:pPr>
              <w:spacing w:before="120"/>
              <w:ind w:right="113"/>
              <w:rPr>
                <w:rFonts w:ascii="Arial" w:hAnsi="Arial" w:cs="Arial"/>
                <w:szCs w:val="24"/>
              </w:rPr>
            </w:pPr>
          </w:p>
        </w:tc>
      </w:tr>
    </w:tbl>
    <w:p w:rsidR="00632F44" w:rsidRDefault="00632F44" w:rsidP="005C0616">
      <w:pPr>
        <w:spacing w:after="240"/>
        <w:outlineLvl w:val="3"/>
        <w:rPr>
          <w:rFonts w:ascii="Arial" w:hAnsi="Arial" w:cs="Arial"/>
          <w:szCs w:val="24"/>
        </w:rPr>
      </w:pPr>
    </w:p>
    <w:sectPr w:rsidR="00632F44" w:rsidSect="003877CB">
      <w:footerReference w:type="default" r:id="rId11"/>
      <w:type w:val="continuous"/>
      <w:pgSz w:w="11906" w:h="16838"/>
      <w:pgMar w:top="567" w:right="851" w:bottom="851" w:left="851" w:header="227" w:footer="78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39" w:rsidRDefault="00AC3A39">
      <w:r>
        <w:separator/>
      </w:r>
    </w:p>
  </w:endnote>
  <w:endnote w:type="continuationSeparator" w:id="0">
    <w:p w:rsidR="00AC3A39" w:rsidRDefault="00AC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11" w:rsidRDefault="00B20E11" w:rsidP="00B20E11">
    <w:pPr>
      <w:spacing w:line="-240" w:lineRule="auto"/>
      <w:ind w:left="4820" w:hanging="4836"/>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39" w:rsidRDefault="00AC3A39">
      <w:r>
        <w:separator/>
      </w:r>
    </w:p>
  </w:footnote>
  <w:footnote w:type="continuationSeparator" w:id="0">
    <w:p w:rsidR="00AC3A39" w:rsidRDefault="00AC3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nsid w:val="10D02F20"/>
    <w:multiLevelType w:val="hybridMultilevel"/>
    <w:tmpl w:val="2DFED3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nsid w:val="1C440766"/>
    <w:multiLevelType w:val="multilevel"/>
    <w:tmpl w:val="A3267DB0"/>
    <w:lvl w:ilvl="0">
      <w:start w:val="5"/>
      <w:numFmt w:val="decimal"/>
      <w:lvlText w:val="%1."/>
      <w:lvlJc w:val="left"/>
      <w:pPr>
        <w:ind w:left="720" w:hanging="360"/>
      </w:pPr>
      <w:rPr>
        <w:rFonts w:hint="default"/>
        <w:b/>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EA55D04"/>
    <w:multiLevelType w:val="hybridMultilevel"/>
    <w:tmpl w:val="732E40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nsid w:val="266408C3"/>
    <w:multiLevelType w:val="hybridMultilevel"/>
    <w:tmpl w:val="ACCA391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5E0196"/>
    <w:multiLevelType w:val="hybridMultilevel"/>
    <w:tmpl w:val="29DC51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EF6E25"/>
    <w:multiLevelType w:val="hybridMultilevel"/>
    <w:tmpl w:val="BEAE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755B83"/>
    <w:multiLevelType w:val="hybridMultilevel"/>
    <w:tmpl w:val="48AC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B7203A"/>
    <w:multiLevelType w:val="hybridMultilevel"/>
    <w:tmpl w:val="11A8BA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A90342"/>
    <w:multiLevelType w:val="hybridMultilevel"/>
    <w:tmpl w:val="5B78658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D53126D"/>
    <w:multiLevelType w:val="hybridMultilevel"/>
    <w:tmpl w:val="4222825E"/>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14">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5">
    <w:nsid w:val="66384194"/>
    <w:multiLevelType w:val="singleLevel"/>
    <w:tmpl w:val="28468E90"/>
    <w:lvl w:ilvl="0">
      <w:start w:val="1"/>
      <w:numFmt w:val="decimal"/>
      <w:lvlText w:val="%1."/>
      <w:lvlJc w:val="left"/>
      <w:pPr>
        <w:tabs>
          <w:tab w:val="num" w:pos="570"/>
        </w:tabs>
        <w:ind w:left="570" w:hanging="570"/>
      </w:pPr>
      <w:rPr>
        <w:rFonts w:hint="default"/>
      </w:rPr>
    </w:lvl>
  </w:abstractNum>
  <w:abstractNum w:abstractNumId="16">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5C7D3B"/>
    <w:multiLevelType w:val="hybridMultilevel"/>
    <w:tmpl w:val="41E8A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6DDF5942"/>
    <w:multiLevelType w:val="hybridMultilevel"/>
    <w:tmpl w:val="E9947D20"/>
    <w:lvl w:ilvl="0" w:tplc="D6DE9A22">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500DD6"/>
    <w:multiLevelType w:val="hybridMultilevel"/>
    <w:tmpl w:val="E020CA1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70A52E9F"/>
    <w:multiLevelType w:val="hybridMultilevel"/>
    <w:tmpl w:val="7F9E76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nsid w:val="73217F6D"/>
    <w:multiLevelType w:val="hybridMultilevel"/>
    <w:tmpl w:val="7D78F47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24">
    <w:nsid w:val="7345795E"/>
    <w:multiLevelType w:val="hybridMultilevel"/>
    <w:tmpl w:val="BAECA8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5CC5A15"/>
    <w:multiLevelType w:val="hybridMultilevel"/>
    <w:tmpl w:val="485A1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5F03E1A"/>
    <w:multiLevelType w:val="hybridMultilevel"/>
    <w:tmpl w:val="7A4E9320"/>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71A67F8"/>
    <w:multiLevelType w:val="hybridMultilevel"/>
    <w:tmpl w:val="DA023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9174817"/>
    <w:multiLevelType w:val="hybridMultilevel"/>
    <w:tmpl w:val="D972AD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0"/>
  </w:num>
  <w:num w:numId="3">
    <w:abstractNumId w:val="14"/>
  </w:num>
  <w:num w:numId="4">
    <w:abstractNumId w:val="16"/>
  </w:num>
  <w:num w:numId="5">
    <w:abstractNumId w:val="6"/>
  </w:num>
  <w:num w:numId="6">
    <w:abstractNumId w:val="11"/>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8"/>
  </w:num>
  <w:num w:numId="10">
    <w:abstractNumId w:val="2"/>
  </w:num>
  <w:num w:numId="11">
    <w:abstractNumId w:val="7"/>
  </w:num>
  <w:num w:numId="12">
    <w:abstractNumId w:val="15"/>
  </w:num>
  <w:num w:numId="13">
    <w:abstractNumId w:val="25"/>
  </w:num>
  <w:num w:numId="14">
    <w:abstractNumId w:val="13"/>
  </w:num>
  <w:num w:numId="15">
    <w:abstractNumId w:val="9"/>
  </w:num>
  <w:num w:numId="16">
    <w:abstractNumId w:val="27"/>
  </w:num>
  <w:num w:numId="17">
    <w:abstractNumId w:val="17"/>
  </w:num>
  <w:num w:numId="18">
    <w:abstractNumId w:val="5"/>
  </w:num>
  <w:num w:numId="19">
    <w:abstractNumId w:val="24"/>
  </w:num>
  <w:num w:numId="20">
    <w:abstractNumId w:val="26"/>
  </w:num>
  <w:num w:numId="21">
    <w:abstractNumId w:val="12"/>
  </w:num>
  <w:num w:numId="22">
    <w:abstractNumId w:val="4"/>
  </w:num>
  <w:num w:numId="23">
    <w:abstractNumId w:val="28"/>
  </w:num>
  <w:num w:numId="24">
    <w:abstractNumId w:val="1"/>
  </w:num>
  <w:num w:numId="25">
    <w:abstractNumId w:val="3"/>
  </w:num>
  <w:num w:numId="26">
    <w:abstractNumId w:val="21"/>
  </w:num>
  <w:num w:numId="27">
    <w:abstractNumId w:val="22"/>
  </w:num>
  <w:num w:numId="2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DA"/>
    <w:rsid w:val="000030E0"/>
    <w:rsid w:val="00006FE3"/>
    <w:rsid w:val="00011E40"/>
    <w:rsid w:val="0001215D"/>
    <w:rsid w:val="00013985"/>
    <w:rsid w:val="00016D1A"/>
    <w:rsid w:val="00016FA7"/>
    <w:rsid w:val="00022574"/>
    <w:rsid w:val="00023BF7"/>
    <w:rsid w:val="000247A9"/>
    <w:rsid w:val="00030A72"/>
    <w:rsid w:val="00030B5D"/>
    <w:rsid w:val="000325E1"/>
    <w:rsid w:val="00034B83"/>
    <w:rsid w:val="000364C3"/>
    <w:rsid w:val="00036BB3"/>
    <w:rsid w:val="00040377"/>
    <w:rsid w:val="00042D9A"/>
    <w:rsid w:val="00043358"/>
    <w:rsid w:val="000479D5"/>
    <w:rsid w:val="00050BD6"/>
    <w:rsid w:val="00050E94"/>
    <w:rsid w:val="00051B59"/>
    <w:rsid w:val="0005584C"/>
    <w:rsid w:val="00057672"/>
    <w:rsid w:val="00060998"/>
    <w:rsid w:val="000661DA"/>
    <w:rsid w:val="00071151"/>
    <w:rsid w:val="000721D3"/>
    <w:rsid w:val="00074F47"/>
    <w:rsid w:val="00075E1E"/>
    <w:rsid w:val="00076253"/>
    <w:rsid w:val="00077FD9"/>
    <w:rsid w:val="0008343E"/>
    <w:rsid w:val="00083A87"/>
    <w:rsid w:val="00086BBB"/>
    <w:rsid w:val="00087CC0"/>
    <w:rsid w:val="00093D50"/>
    <w:rsid w:val="00094C3C"/>
    <w:rsid w:val="00095E08"/>
    <w:rsid w:val="000A00F2"/>
    <w:rsid w:val="000A20CA"/>
    <w:rsid w:val="000A6007"/>
    <w:rsid w:val="000A6544"/>
    <w:rsid w:val="000B0968"/>
    <w:rsid w:val="000B0F05"/>
    <w:rsid w:val="000B7672"/>
    <w:rsid w:val="000B794A"/>
    <w:rsid w:val="000C22A9"/>
    <w:rsid w:val="000C3A47"/>
    <w:rsid w:val="000C3EC0"/>
    <w:rsid w:val="000C6967"/>
    <w:rsid w:val="000D1708"/>
    <w:rsid w:val="000D4650"/>
    <w:rsid w:val="000D5C0B"/>
    <w:rsid w:val="000E1EEF"/>
    <w:rsid w:val="000E2808"/>
    <w:rsid w:val="000E2845"/>
    <w:rsid w:val="000E28BE"/>
    <w:rsid w:val="000E5C42"/>
    <w:rsid w:val="000E6768"/>
    <w:rsid w:val="000F15CC"/>
    <w:rsid w:val="000F659C"/>
    <w:rsid w:val="000F6688"/>
    <w:rsid w:val="00100B13"/>
    <w:rsid w:val="00101539"/>
    <w:rsid w:val="00104087"/>
    <w:rsid w:val="0010692E"/>
    <w:rsid w:val="001077F8"/>
    <w:rsid w:val="00110733"/>
    <w:rsid w:val="001119E7"/>
    <w:rsid w:val="00111F0E"/>
    <w:rsid w:val="00114096"/>
    <w:rsid w:val="00115242"/>
    <w:rsid w:val="001156E7"/>
    <w:rsid w:val="00116021"/>
    <w:rsid w:val="0011671B"/>
    <w:rsid w:val="001202FE"/>
    <w:rsid w:val="00121151"/>
    <w:rsid w:val="00121799"/>
    <w:rsid w:val="00121A0B"/>
    <w:rsid w:val="00122FD3"/>
    <w:rsid w:val="00123A9D"/>
    <w:rsid w:val="00125DAF"/>
    <w:rsid w:val="00130DD3"/>
    <w:rsid w:val="001367E1"/>
    <w:rsid w:val="0014173C"/>
    <w:rsid w:val="00141753"/>
    <w:rsid w:val="00143158"/>
    <w:rsid w:val="001510FF"/>
    <w:rsid w:val="0015162B"/>
    <w:rsid w:val="00151DF1"/>
    <w:rsid w:val="001540FE"/>
    <w:rsid w:val="001626DE"/>
    <w:rsid w:val="001719B4"/>
    <w:rsid w:val="00174647"/>
    <w:rsid w:val="00175053"/>
    <w:rsid w:val="00180499"/>
    <w:rsid w:val="00180B7A"/>
    <w:rsid w:val="00180DC3"/>
    <w:rsid w:val="0018141F"/>
    <w:rsid w:val="001832BB"/>
    <w:rsid w:val="00185C41"/>
    <w:rsid w:val="0018668E"/>
    <w:rsid w:val="001870A6"/>
    <w:rsid w:val="00191E03"/>
    <w:rsid w:val="00191FEF"/>
    <w:rsid w:val="00196F91"/>
    <w:rsid w:val="001A21A3"/>
    <w:rsid w:val="001A4690"/>
    <w:rsid w:val="001A4720"/>
    <w:rsid w:val="001A4840"/>
    <w:rsid w:val="001A5F52"/>
    <w:rsid w:val="001A6E8E"/>
    <w:rsid w:val="001B1D57"/>
    <w:rsid w:val="001B28AB"/>
    <w:rsid w:val="001B71CD"/>
    <w:rsid w:val="001C3393"/>
    <w:rsid w:val="001C3C2B"/>
    <w:rsid w:val="001C52C7"/>
    <w:rsid w:val="001C7219"/>
    <w:rsid w:val="001C772F"/>
    <w:rsid w:val="001D0669"/>
    <w:rsid w:val="001D3477"/>
    <w:rsid w:val="001D39CC"/>
    <w:rsid w:val="001D5AA2"/>
    <w:rsid w:val="001D68E6"/>
    <w:rsid w:val="001E3F45"/>
    <w:rsid w:val="001E57DC"/>
    <w:rsid w:val="001F0A87"/>
    <w:rsid w:val="001F0F68"/>
    <w:rsid w:val="001F1CF3"/>
    <w:rsid w:val="001F2048"/>
    <w:rsid w:val="001F2652"/>
    <w:rsid w:val="002030F2"/>
    <w:rsid w:val="00203DB1"/>
    <w:rsid w:val="00206732"/>
    <w:rsid w:val="00207516"/>
    <w:rsid w:val="00207CD4"/>
    <w:rsid w:val="00207D4B"/>
    <w:rsid w:val="00211657"/>
    <w:rsid w:val="00215F54"/>
    <w:rsid w:val="0021630D"/>
    <w:rsid w:val="002227F5"/>
    <w:rsid w:val="00222875"/>
    <w:rsid w:val="0023037E"/>
    <w:rsid w:val="00231EA3"/>
    <w:rsid w:val="002362F2"/>
    <w:rsid w:val="0023722A"/>
    <w:rsid w:val="00242633"/>
    <w:rsid w:val="00245211"/>
    <w:rsid w:val="002509B7"/>
    <w:rsid w:val="00251F7D"/>
    <w:rsid w:val="002522A6"/>
    <w:rsid w:val="002533F8"/>
    <w:rsid w:val="002549E3"/>
    <w:rsid w:val="00254CEA"/>
    <w:rsid w:val="00255902"/>
    <w:rsid w:val="002563EC"/>
    <w:rsid w:val="002623D0"/>
    <w:rsid w:val="002626D8"/>
    <w:rsid w:val="00262F5D"/>
    <w:rsid w:val="00263DB5"/>
    <w:rsid w:val="0026410A"/>
    <w:rsid w:val="002718C8"/>
    <w:rsid w:val="00271A0A"/>
    <w:rsid w:val="002726B8"/>
    <w:rsid w:val="00276164"/>
    <w:rsid w:val="0028083B"/>
    <w:rsid w:val="0029067B"/>
    <w:rsid w:val="002912E7"/>
    <w:rsid w:val="00291B9B"/>
    <w:rsid w:val="002941B5"/>
    <w:rsid w:val="00294803"/>
    <w:rsid w:val="00297C6A"/>
    <w:rsid w:val="002A08A2"/>
    <w:rsid w:val="002A2865"/>
    <w:rsid w:val="002A2D72"/>
    <w:rsid w:val="002A3CE0"/>
    <w:rsid w:val="002A4245"/>
    <w:rsid w:val="002A50C7"/>
    <w:rsid w:val="002A741D"/>
    <w:rsid w:val="002B039E"/>
    <w:rsid w:val="002B0F40"/>
    <w:rsid w:val="002B3F49"/>
    <w:rsid w:val="002C1444"/>
    <w:rsid w:val="002C5E47"/>
    <w:rsid w:val="002C7A85"/>
    <w:rsid w:val="002D044E"/>
    <w:rsid w:val="002D2A66"/>
    <w:rsid w:val="002D2D09"/>
    <w:rsid w:val="002D3ECD"/>
    <w:rsid w:val="002D5FD7"/>
    <w:rsid w:val="002E0323"/>
    <w:rsid w:val="002E0761"/>
    <w:rsid w:val="002E27C6"/>
    <w:rsid w:val="002E396C"/>
    <w:rsid w:val="002E547D"/>
    <w:rsid w:val="002E5BE7"/>
    <w:rsid w:val="002E65A2"/>
    <w:rsid w:val="002E724D"/>
    <w:rsid w:val="002E7AC2"/>
    <w:rsid w:val="002F0156"/>
    <w:rsid w:val="002F1538"/>
    <w:rsid w:val="00302C78"/>
    <w:rsid w:val="003032AE"/>
    <w:rsid w:val="00303BA8"/>
    <w:rsid w:val="00303E26"/>
    <w:rsid w:val="003040A6"/>
    <w:rsid w:val="003057C3"/>
    <w:rsid w:val="00307282"/>
    <w:rsid w:val="003102EF"/>
    <w:rsid w:val="00315759"/>
    <w:rsid w:val="00327CDF"/>
    <w:rsid w:val="00327EB1"/>
    <w:rsid w:val="00331294"/>
    <w:rsid w:val="0033295D"/>
    <w:rsid w:val="003354DA"/>
    <w:rsid w:val="00335937"/>
    <w:rsid w:val="00336A0D"/>
    <w:rsid w:val="00336C17"/>
    <w:rsid w:val="00342685"/>
    <w:rsid w:val="00344AC6"/>
    <w:rsid w:val="00345C23"/>
    <w:rsid w:val="00346F0B"/>
    <w:rsid w:val="00351542"/>
    <w:rsid w:val="003520CE"/>
    <w:rsid w:val="00352605"/>
    <w:rsid w:val="003537F8"/>
    <w:rsid w:val="0035588B"/>
    <w:rsid w:val="00360EEE"/>
    <w:rsid w:val="00364FA9"/>
    <w:rsid w:val="0036514B"/>
    <w:rsid w:val="0036607D"/>
    <w:rsid w:val="00366519"/>
    <w:rsid w:val="00367C3E"/>
    <w:rsid w:val="00370F8E"/>
    <w:rsid w:val="003716E6"/>
    <w:rsid w:val="00372DE6"/>
    <w:rsid w:val="003768CD"/>
    <w:rsid w:val="0037775D"/>
    <w:rsid w:val="00380795"/>
    <w:rsid w:val="003877CB"/>
    <w:rsid w:val="00390A96"/>
    <w:rsid w:val="0039531D"/>
    <w:rsid w:val="003A15E9"/>
    <w:rsid w:val="003A190D"/>
    <w:rsid w:val="003A2B6D"/>
    <w:rsid w:val="003A52A8"/>
    <w:rsid w:val="003A544F"/>
    <w:rsid w:val="003B157C"/>
    <w:rsid w:val="003C4AB5"/>
    <w:rsid w:val="003C64E5"/>
    <w:rsid w:val="003D3E13"/>
    <w:rsid w:val="003D44EE"/>
    <w:rsid w:val="003D4981"/>
    <w:rsid w:val="003E1570"/>
    <w:rsid w:val="003E19B0"/>
    <w:rsid w:val="003E3241"/>
    <w:rsid w:val="003E3805"/>
    <w:rsid w:val="003E3B61"/>
    <w:rsid w:val="003E5673"/>
    <w:rsid w:val="003E5C54"/>
    <w:rsid w:val="003E6636"/>
    <w:rsid w:val="003E7EE3"/>
    <w:rsid w:val="003F1C32"/>
    <w:rsid w:val="003F3F36"/>
    <w:rsid w:val="0040130C"/>
    <w:rsid w:val="0040168F"/>
    <w:rsid w:val="00407BA1"/>
    <w:rsid w:val="00412D85"/>
    <w:rsid w:val="00417FDF"/>
    <w:rsid w:val="00423498"/>
    <w:rsid w:val="00424335"/>
    <w:rsid w:val="004250AE"/>
    <w:rsid w:val="00430ACE"/>
    <w:rsid w:val="00431D69"/>
    <w:rsid w:val="0043350D"/>
    <w:rsid w:val="004351F7"/>
    <w:rsid w:val="00436A35"/>
    <w:rsid w:val="00437221"/>
    <w:rsid w:val="00437EFB"/>
    <w:rsid w:val="004426A9"/>
    <w:rsid w:val="004471DF"/>
    <w:rsid w:val="00450CE8"/>
    <w:rsid w:val="00451BFB"/>
    <w:rsid w:val="00452E3E"/>
    <w:rsid w:val="0045307A"/>
    <w:rsid w:val="00454A7B"/>
    <w:rsid w:val="00462921"/>
    <w:rsid w:val="00465632"/>
    <w:rsid w:val="004675D0"/>
    <w:rsid w:val="00467C82"/>
    <w:rsid w:val="0047184A"/>
    <w:rsid w:val="00472253"/>
    <w:rsid w:val="00473151"/>
    <w:rsid w:val="00474ADE"/>
    <w:rsid w:val="00475201"/>
    <w:rsid w:val="00482172"/>
    <w:rsid w:val="0048317D"/>
    <w:rsid w:val="00484380"/>
    <w:rsid w:val="004851A9"/>
    <w:rsid w:val="004944D1"/>
    <w:rsid w:val="00496525"/>
    <w:rsid w:val="00496684"/>
    <w:rsid w:val="00496D08"/>
    <w:rsid w:val="0049742E"/>
    <w:rsid w:val="004A2814"/>
    <w:rsid w:val="004A4A1A"/>
    <w:rsid w:val="004B07A1"/>
    <w:rsid w:val="004B3E9E"/>
    <w:rsid w:val="004B4D64"/>
    <w:rsid w:val="004C2B15"/>
    <w:rsid w:val="004D10E9"/>
    <w:rsid w:val="004D2534"/>
    <w:rsid w:val="004D3AD5"/>
    <w:rsid w:val="004D3CCE"/>
    <w:rsid w:val="004D5474"/>
    <w:rsid w:val="004E08E7"/>
    <w:rsid w:val="004E3149"/>
    <w:rsid w:val="004E4A52"/>
    <w:rsid w:val="004E61A9"/>
    <w:rsid w:val="004F22C5"/>
    <w:rsid w:val="004F411A"/>
    <w:rsid w:val="004F4A77"/>
    <w:rsid w:val="004F652A"/>
    <w:rsid w:val="005007CC"/>
    <w:rsid w:val="00502CBB"/>
    <w:rsid w:val="00503251"/>
    <w:rsid w:val="0050339E"/>
    <w:rsid w:val="00503B12"/>
    <w:rsid w:val="0050651F"/>
    <w:rsid w:val="00506E60"/>
    <w:rsid w:val="00511C8D"/>
    <w:rsid w:val="005136EA"/>
    <w:rsid w:val="00514822"/>
    <w:rsid w:val="00514A1E"/>
    <w:rsid w:val="005179B5"/>
    <w:rsid w:val="00521F0B"/>
    <w:rsid w:val="00522C1C"/>
    <w:rsid w:val="00525F66"/>
    <w:rsid w:val="00526A0B"/>
    <w:rsid w:val="005273D8"/>
    <w:rsid w:val="00527F60"/>
    <w:rsid w:val="00530645"/>
    <w:rsid w:val="005344DE"/>
    <w:rsid w:val="00535020"/>
    <w:rsid w:val="0053533A"/>
    <w:rsid w:val="00536264"/>
    <w:rsid w:val="00541E98"/>
    <w:rsid w:val="005424EC"/>
    <w:rsid w:val="00544B9A"/>
    <w:rsid w:val="00545759"/>
    <w:rsid w:val="00547B02"/>
    <w:rsid w:val="005506C4"/>
    <w:rsid w:val="00553035"/>
    <w:rsid w:val="00554D4B"/>
    <w:rsid w:val="005553CA"/>
    <w:rsid w:val="005562C7"/>
    <w:rsid w:val="00557846"/>
    <w:rsid w:val="005632FC"/>
    <w:rsid w:val="00570B7E"/>
    <w:rsid w:val="005771DA"/>
    <w:rsid w:val="00583F20"/>
    <w:rsid w:val="0058632C"/>
    <w:rsid w:val="00590A15"/>
    <w:rsid w:val="00592D5F"/>
    <w:rsid w:val="00597388"/>
    <w:rsid w:val="005A0D78"/>
    <w:rsid w:val="005A1218"/>
    <w:rsid w:val="005A4C06"/>
    <w:rsid w:val="005A4F0C"/>
    <w:rsid w:val="005A50BB"/>
    <w:rsid w:val="005A567C"/>
    <w:rsid w:val="005A6934"/>
    <w:rsid w:val="005B052E"/>
    <w:rsid w:val="005B0BE0"/>
    <w:rsid w:val="005B307E"/>
    <w:rsid w:val="005B3E03"/>
    <w:rsid w:val="005B66DF"/>
    <w:rsid w:val="005B6B2D"/>
    <w:rsid w:val="005C0616"/>
    <w:rsid w:val="005C2308"/>
    <w:rsid w:val="005C286D"/>
    <w:rsid w:val="005C6FC6"/>
    <w:rsid w:val="005D0740"/>
    <w:rsid w:val="005D3D19"/>
    <w:rsid w:val="005D4159"/>
    <w:rsid w:val="005D4704"/>
    <w:rsid w:val="005D6094"/>
    <w:rsid w:val="005D634E"/>
    <w:rsid w:val="005E1C31"/>
    <w:rsid w:val="005E30C0"/>
    <w:rsid w:val="005E537A"/>
    <w:rsid w:val="005E6215"/>
    <w:rsid w:val="005E6835"/>
    <w:rsid w:val="005E6953"/>
    <w:rsid w:val="005E756A"/>
    <w:rsid w:val="005F0278"/>
    <w:rsid w:val="005F0B46"/>
    <w:rsid w:val="005F1299"/>
    <w:rsid w:val="005F1E62"/>
    <w:rsid w:val="005F4321"/>
    <w:rsid w:val="00601977"/>
    <w:rsid w:val="00605029"/>
    <w:rsid w:val="00605E9D"/>
    <w:rsid w:val="00613454"/>
    <w:rsid w:val="006160AA"/>
    <w:rsid w:val="00625164"/>
    <w:rsid w:val="00626F91"/>
    <w:rsid w:val="006270B9"/>
    <w:rsid w:val="006273E9"/>
    <w:rsid w:val="0063034B"/>
    <w:rsid w:val="006310A6"/>
    <w:rsid w:val="00632F44"/>
    <w:rsid w:val="00634B04"/>
    <w:rsid w:val="006350FF"/>
    <w:rsid w:val="00641F9C"/>
    <w:rsid w:val="0064481C"/>
    <w:rsid w:val="00644C2A"/>
    <w:rsid w:val="00644E02"/>
    <w:rsid w:val="00646E26"/>
    <w:rsid w:val="00647E14"/>
    <w:rsid w:val="00647F32"/>
    <w:rsid w:val="00654B3F"/>
    <w:rsid w:val="006564AD"/>
    <w:rsid w:val="006604F7"/>
    <w:rsid w:val="00663BF9"/>
    <w:rsid w:val="00664535"/>
    <w:rsid w:val="0066511D"/>
    <w:rsid w:val="00665AA3"/>
    <w:rsid w:val="00667220"/>
    <w:rsid w:val="0067065F"/>
    <w:rsid w:val="00671632"/>
    <w:rsid w:val="00671740"/>
    <w:rsid w:val="006723B5"/>
    <w:rsid w:val="00675690"/>
    <w:rsid w:val="00676183"/>
    <w:rsid w:val="006776AF"/>
    <w:rsid w:val="00677DE4"/>
    <w:rsid w:val="00684722"/>
    <w:rsid w:val="006871DB"/>
    <w:rsid w:val="006876D1"/>
    <w:rsid w:val="00687823"/>
    <w:rsid w:val="00694903"/>
    <w:rsid w:val="00696027"/>
    <w:rsid w:val="00697D38"/>
    <w:rsid w:val="006A4069"/>
    <w:rsid w:val="006A5089"/>
    <w:rsid w:val="006A5499"/>
    <w:rsid w:val="006A6497"/>
    <w:rsid w:val="006A6753"/>
    <w:rsid w:val="006A6857"/>
    <w:rsid w:val="006A693E"/>
    <w:rsid w:val="006A7801"/>
    <w:rsid w:val="006B081D"/>
    <w:rsid w:val="006B14B3"/>
    <w:rsid w:val="006B1A31"/>
    <w:rsid w:val="006B4CB5"/>
    <w:rsid w:val="006B7D16"/>
    <w:rsid w:val="006C0E91"/>
    <w:rsid w:val="006C2241"/>
    <w:rsid w:val="006C63D1"/>
    <w:rsid w:val="006C6DDD"/>
    <w:rsid w:val="006D1B89"/>
    <w:rsid w:val="006D56AB"/>
    <w:rsid w:val="006D56AF"/>
    <w:rsid w:val="006E11E6"/>
    <w:rsid w:val="006E4017"/>
    <w:rsid w:val="006E44E0"/>
    <w:rsid w:val="006E51D6"/>
    <w:rsid w:val="006E6258"/>
    <w:rsid w:val="006E6317"/>
    <w:rsid w:val="006E71A2"/>
    <w:rsid w:val="006E77F3"/>
    <w:rsid w:val="006E7A90"/>
    <w:rsid w:val="006F0A6B"/>
    <w:rsid w:val="006F51B4"/>
    <w:rsid w:val="006F5962"/>
    <w:rsid w:val="0070207C"/>
    <w:rsid w:val="007031F3"/>
    <w:rsid w:val="007060C8"/>
    <w:rsid w:val="00706616"/>
    <w:rsid w:val="007069B6"/>
    <w:rsid w:val="00707D0B"/>
    <w:rsid w:val="007105C9"/>
    <w:rsid w:val="0071285E"/>
    <w:rsid w:val="007132A7"/>
    <w:rsid w:val="007143A0"/>
    <w:rsid w:val="00714BC6"/>
    <w:rsid w:val="00714FE3"/>
    <w:rsid w:val="00717A72"/>
    <w:rsid w:val="00720C65"/>
    <w:rsid w:val="00723334"/>
    <w:rsid w:val="00724B7C"/>
    <w:rsid w:val="00732251"/>
    <w:rsid w:val="00732995"/>
    <w:rsid w:val="0073487C"/>
    <w:rsid w:val="00734EAB"/>
    <w:rsid w:val="007367E8"/>
    <w:rsid w:val="0074692A"/>
    <w:rsid w:val="007470AA"/>
    <w:rsid w:val="00750FEE"/>
    <w:rsid w:val="00752A0F"/>
    <w:rsid w:val="00752FB2"/>
    <w:rsid w:val="00754D9D"/>
    <w:rsid w:val="00755A2F"/>
    <w:rsid w:val="00761B35"/>
    <w:rsid w:val="00761BEF"/>
    <w:rsid w:val="007636A3"/>
    <w:rsid w:val="007659E2"/>
    <w:rsid w:val="00766885"/>
    <w:rsid w:val="00770194"/>
    <w:rsid w:val="00770846"/>
    <w:rsid w:val="00772BB7"/>
    <w:rsid w:val="0077561B"/>
    <w:rsid w:val="00775A7B"/>
    <w:rsid w:val="00781AB5"/>
    <w:rsid w:val="007828E0"/>
    <w:rsid w:val="00783657"/>
    <w:rsid w:val="0078417B"/>
    <w:rsid w:val="00784955"/>
    <w:rsid w:val="00784F91"/>
    <w:rsid w:val="00785721"/>
    <w:rsid w:val="00795AA2"/>
    <w:rsid w:val="00796491"/>
    <w:rsid w:val="007970F8"/>
    <w:rsid w:val="007978A3"/>
    <w:rsid w:val="00797B3A"/>
    <w:rsid w:val="007A3BE0"/>
    <w:rsid w:val="007A3E6A"/>
    <w:rsid w:val="007A4DC2"/>
    <w:rsid w:val="007B77CB"/>
    <w:rsid w:val="007C12DA"/>
    <w:rsid w:val="007C29DC"/>
    <w:rsid w:val="007C6A7A"/>
    <w:rsid w:val="007D512F"/>
    <w:rsid w:val="007D59BF"/>
    <w:rsid w:val="007D5D21"/>
    <w:rsid w:val="007E15CE"/>
    <w:rsid w:val="007E2FB6"/>
    <w:rsid w:val="007E75CB"/>
    <w:rsid w:val="007F382A"/>
    <w:rsid w:val="00805F26"/>
    <w:rsid w:val="00807BBB"/>
    <w:rsid w:val="008119F7"/>
    <w:rsid w:val="00817523"/>
    <w:rsid w:val="00820644"/>
    <w:rsid w:val="00823762"/>
    <w:rsid w:val="00825F4E"/>
    <w:rsid w:val="00827816"/>
    <w:rsid w:val="008327BC"/>
    <w:rsid w:val="00835028"/>
    <w:rsid w:val="00835E10"/>
    <w:rsid w:val="00837D7F"/>
    <w:rsid w:val="00840885"/>
    <w:rsid w:val="00843118"/>
    <w:rsid w:val="00845F18"/>
    <w:rsid w:val="008475DA"/>
    <w:rsid w:val="00851259"/>
    <w:rsid w:val="00853826"/>
    <w:rsid w:val="00853C8A"/>
    <w:rsid w:val="00856433"/>
    <w:rsid w:val="00856B4E"/>
    <w:rsid w:val="0085777B"/>
    <w:rsid w:val="00862F88"/>
    <w:rsid w:val="0086581C"/>
    <w:rsid w:val="00867C9D"/>
    <w:rsid w:val="00875307"/>
    <w:rsid w:val="00881DA8"/>
    <w:rsid w:val="00882ED2"/>
    <w:rsid w:val="008831E3"/>
    <w:rsid w:val="00883DAD"/>
    <w:rsid w:val="00884F3E"/>
    <w:rsid w:val="00885436"/>
    <w:rsid w:val="008869F5"/>
    <w:rsid w:val="00886D89"/>
    <w:rsid w:val="00892266"/>
    <w:rsid w:val="00893509"/>
    <w:rsid w:val="008A64D8"/>
    <w:rsid w:val="008A6D97"/>
    <w:rsid w:val="008B0EEB"/>
    <w:rsid w:val="008B13A0"/>
    <w:rsid w:val="008B4F4A"/>
    <w:rsid w:val="008C1209"/>
    <w:rsid w:val="008D36E1"/>
    <w:rsid w:val="008D6373"/>
    <w:rsid w:val="008D709D"/>
    <w:rsid w:val="008E4D74"/>
    <w:rsid w:val="008F0943"/>
    <w:rsid w:val="008F2496"/>
    <w:rsid w:val="008F3E25"/>
    <w:rsid w:val="008F5F13"/>
    <w:rsid w:val="008F6B76"/>
    <w:rsid w:val="0090060B"/>
    <w:rsid w:val="00900C31"/>
    <w:rsid w:val="00900E1B"/>
    <w:rsid w:val="00902458"/>
    <w:rsid w:val="0091267A"/>
    <w:rsid w:val="00912BEA"/>
    <w:rsid w:val="00917302"/>
    <w:rsid w:val="00925E3F"/>
    <w:rsid w:val="0092773B"/>
    <w:rsid w:val="009312B8"/>
    <w:rsid w:val="00932ED2"/>
    <w:rsid w:val="00934776"/>
    <w:rsid w:val="0093644B"/>
    <w:rsid w:val="00940681"/>
    <w:rsid w:val="00940696"/>
    <w:rsid w:val="00940E41"/>
    <w:rsid w:val="0094145A"/>
    <w:rsid w:val="009414B4"/>
    <w:rsid w:val="00941AE5"/>
    <w:rsid w:val="00942370"/>
    <w:rsid w:val="00942AA6"/>
    <w:rsid w:val="00951B2B"/>
    <w:rsid w:val="0095304F"/>
    <w:rsid w:val="00953CC1"/>
    <w:rsid w:val="009549BB"/>
    <w:rsid w:val="00955776"/>
    <w:rsid w:val="00960F08"/>
    <w:rsid w:val="00961D60"/>
    <w:rsid w:val="0096217F"/>
    <w:rsid w:val="00962D33"/>
    <w:rsid w:val="0096455A"/>
    <w:rsid w:val="009710C8"/>
    <w:rsid w:val="0097452F"/>
    <w:rsid w:val="009759C8"/>
    <w:rsid w:val="009776FB"/>
    <w:rsid w:val="00980384"/>
    <w:rsid w:val="00980BED"/>
    <w:rsid w:val="009856F6"/>
    <w:rsid w:val="009864E4"/>
    <w:rsid w:val="00995191"/>
    <w:rsid w:val="00995D33"/>
    <w:rsid w:val="00995EBD"/>
    <w:rsid w:val="0099746A"/>
    <w:rsid w:val="00997BA2"/>
    <w:rsid w:val="00997C60"/>
    <w:rsid w:val="00997CA9"/>
    <w:rsid w:val="009A0B93"/>
    <w:rsid w:val="009A283B"/>
    <w:rsid w:val="009A2BCD"/>
    <w:rsid w:val="009A534C"/>
    <w:rsid w:val="009A5481"/>
    <w:rsid w:val="009A61AA"/>
    <w:rsid w:val="009B31A3"/>
    <w:rsid w:val="009B6F7A"/>
    <w:rsid w:val="009B7AD6"/>
    <w:rsid w:val="009C0094"/>
    <w:rsid w:val="009D2A10"/>
    <w:rsid w:val="009D433D"/>
    <w:rsid w:val="009D486F"/>
    <w:rsid w:val="009D76BA"/>
    <w:rsid w:val="009E13AE"/>
    <w:rsid w:val="009E1D7A"/>
    <w:rsid w:val="009E358F"/>
    <w:rsid w:val="009E4791"/>
    <w:rsid w:val="009E4E97"/>
    <w:rsid w:val="009E521D"/>
    <w:rsid w:val="009E670C"/>
    <w:rsid w:val="009F1C08"/>
    <w:rsid w:val="009F7880"/>
    <w:rsid w:val="009F7C38"/>
    <w:rsid w:val="009F7EB2"/>
    <w:rsid w:val="00A00382"/>
    <w:rsid w:val="00A01665"/>
    <w:rsid w:val="00A02507"/>
    <w:rsid w:val="00A02A1E"/>
    <w:rsid w:val="00A036FA"/>
    <w:rsid w:val="00A10680"/>
    <w:rsid w:val="00A1502D"/>
    <w:rsid w:val="00A15E34"/>
    <w:rsid w:val="00A16E63"/>
    <w:rsid w:val="00A174E6"/>
    <w:rsid w:val="00A23210"/>
    <w:rsid w:val="00A233DF"/>
    <w:rsid w:val="00A248AC"/>
    <w:rsid w:val="00A248FC"/>
    <w:rsid w:val="00A250BF"/>
    <w:rsid w:val="00A3068E"/>
    <w:rsid w:val="00A313A9"/>
    <w:rsid w:val="00A32FCA"/>
    <w:rsid w:val="00A33E51"/>
    <w:rsid w:val="00A3782D"/>
    <w:rsid w:val="00A40EE3"/>
    <w:rsid w:val="00A40F6A"/>
    <w:rsid w:val="00A411B4"/>
    <w:rsid w:val="00A41EB4"/>
    <w:rsid w:val="00A42026"/>
    <w:rsid w:val="00A428B0"/>
    <w:rsid w:val="00A52BE3"/>
    <w:rsid w:val="00A54969"/>
    <w:rsid w:val="00A640EA"/>
    <w:rsid w:val="00A67DD2"/>
    <w:rsid w:val="00A72148"/>
    <w:rsid w:val="00A72F52"/>
    <w:rsid w:val="00A74DEE"/>
    <w:rsid w:val="00A86C4B"/>
    <w:rsid w:val="00A87348"/>
    <w:rsid w:val="00A93D2C"/>
    <w:rsid w:val="00A95B9F"/>
    <w:rsid w:val="00A95C9B"/>
    <w:rsid w:val="00AA069B"/>
    <w:rsid w:val="00AB08BA"/>
    <w:rsid w:val="00AB0E52"/>
    <w:rsid w:val="00AB248A"/>
    <w:rsid w:val="00AB271A"/>
    <w:rsid w:val="00AC1761"/>
    <w:rsid w:val="00AC1AEA"/>
    <w:rsid w:val="00AC21B4"/>
    <w:rsid w:val="00AC3A39"/>
    <w:rsid w:val="00AC6E96"/>
    <w:rsid w:val="00AC72FE"/>
    <w:rsid w:val="00AD1B5E"/>
    <w:rsid w:val="00AD2779"/>
    <w:rsid w:val="00AD4AFD"/>
    <w:rsid w:val="00AD5B62"/>
    <w:rsid w:val="00AD7BDA"/>
    <w:rsid w:val="00AE060C"/>
    <w:rsid w:val="00AE063D"/>
    <w:rsid w:val="00AE0CBB"/>
    <w:rsid w:val="00AE4862"/>
    <w:rsid w:val="00AF0049"/>
    <w:rsid w:val="00AF4164"/>
    <w:rsid w:val="00AF5573"/>
    <w:rsid w:val="00B03487"/>
    <w:rsid w:val="00B03E0C"/>
    <w:rsid w:val="00B04F10"/>
    <w:rsid w:val="00B05244"/>
    <w:rsid w:val="00B05C15"/>
    <w:rsid w:val="00B0642D"/>
    <w:rsid w:val="00B20E11"/>
    <w:rsid w:val="00B21B7F"/>
    <w:rsid w:val="00B221D2"/>
    <w:rsid w:val="00B24E0D"/>
    <w:rsid w:val="00B25184"/>
    <w:rsid w:val="00B2788D"/>
    <w:rsid w:val="00B32143"/>
    <w:rsid w:val="00B32975"/>
    <w:rsid w:val="00B33D30"/>
    <w:rsid w:val="00B35611"/>
    <w:rsid w:val="00B36DE6"/>
    <w:rsid w:val="00B406AE"/>
    <w:rsid w:val="00B41213"/>
    <w:rsid w:val="00B42FA9"/>
    <w:rsid w:val="00B4325B"/>
    <w:rsid w:val="00B45F92"/>
    <w:rsid w:val="00B47615"/>
    <w:rsid w:val="00B517E8"/>
    <w:rsid w:val="00B57489"/>
    <w:rsid w:val="00B60825"/>
    <w:rsid w:val="00B638C3"/>
    <w:rsid w:val="00B66CAD"/>
    <w:rsid w:val="00B7322F"/>
    <w:rsid w:val="00B7460D"/>
    <w:rsid w:val="00B751FD"/>
    <w:rsid w:val="00B75951"/>
    <w:rsid w:val="00B7644A"/>
    <w:rsid w:val="00B80D88"/>
    <w:rsid w:val="00B821AD"/>
    <w:rsid w:val="00B83F0A"/>
    <w:rsid w:val="00B84B76"/>
    <w:rsid w:val="00B850A9"/>
    <w:rsid w:val="00B86334"/>
    <w:rsid w:val="00B86BC0"/>
    <w:rsid w:val="00B902B5"/>
    <w:rsid w:val="00B941A9"/>
    <w:rsid w:val="00B950D5"/>
    <w:rsid w:val="00B96668"/>
    <w:rsid w:val="00BA0D1E"/>
    <w:rsid w:val="00BA14E1"/>
    <w:rsid w:val="00BA2878"/>
    <w:rsid w:val="00BA3457"/>
    <w:rsid w:val="00BA608C"/>
    <w:rsid w:val="00BB483F"/>
    <w:rsid w:val="00BB4858"/>
    <w:rsid w:val="00BB5151"/>
    <w:rsid w:val="00BB578C"/>
    <w:rsid w:val="00BB7229"/>
    <w:rsid w:val="00BC0363"/>
    <w:rsid w:val="00BC0B22"/>
    <w:rsid w:val="00BC2B28"/>
    <w:rsid w:val="00BC6F4D"/>
    <w:rsid w:val="00BD226F"/>
    <w:rsid w:val="00BD3C81"/>
    <w:rsid w:val="00BE2546"/>
    <w:rsid w:val="00BE2AFB"/>
    <w:rsid w:val="00BF22E5"/>
    <w:rsid w:val="00BF411B"/>
    <w:rsid w:val="00BF55D0"/>
    <w:rsid w:val="00BF75EE"/>
    <w:rsid w:val="00C02A8B"/>
    <w:rsid w:val="00C02C1C"/>
    <w:rsid w:val="00C030F4"/>
    <w:rsid w:val="00C03734"/>
    <w:rsid w:val="00C055B8"/>
    <w:rsid w:val="00C07EAB"/>
    <w:rsid w:val="00C101F1"/>
    <w:rsid w:val="00C11D6F"/>
    <w:rsid w:val="00C13CC9"/>
    <w:rsid w:val="00C1425C"/>
    <w:rsid w:val="00C14529"/>
    <w:rsid w:val="00C20E2B"/>
    <w:rsid w:val="00C21F8D"/>
    <w:rsid w:val="00C23B8B"/>
    <w:rsid w:val="00C25DBA"/>
    <w:rsid w:val="00C26F22"/>
    <w:rsid w:val="00C27461"/>
    <w:rsid w:val="00C30AE1"/>
    <w:rsid w:val="00C310D5"/>
    <w:rsid w:val="00C31B9B"/>
    <w:rsid w:val="00C3557D"/>
    <w:rsid w:val="00C3776A"/>
    <w:rsid w:val="00C37937"/>
    <w:rsid w:val="00C379EE"/>
    <w:rsid w:val="00C37AB7"/>
    <w:rsid w:val="00C403E4"/>
    <w:rsid w:val="00C41CB4"/>
    <w:rsid w:val="00C41F06"/>
    <w:rsid w:val="00C429BF"/>
    <w:rsid w:val="00C43FB3"/>
    <w:rsid w:val="00C47BFF"/>
    <w:rsid w:val="00C51060"/>
    <w:rsid w:val="00C526A7"/>
    <w:rsid w:val="00C5612E"/>
    <w:rsid w:val="00C6030D"/>
    <w:rsid w:val="00C61F50"/>
    <w:rsid w:val="00C639B0"/>
    <w:rsid w:val="00C65FBB"/>
    <w:rsid w:val="00C6797A"/>
    <w:rsid w:val="00C86BCF"/>
    <w:rsid w:val="00C86E4E"/>
    <w:rsid w:val="00C9053B"/>
    <w:rsid w:val="00C90831"/>
    <w:rsid w:val="00C92497"/>
    <w:rsid w:val="00C935AC"/>
    <w:rsid w:val="00C95F7B"/>
    <w:rsid w:val="00C96B81"/>
    <w:rsid w:val="00CA59B1"/>
    <w:rsid w:val="00CB3B43"/>
    <w:rsid w:val="00CB4621"/>
    <w:rsid w:val="00CB495F"/>
    <w:rsid w:val="00CB655D"/>
    <w:rsid w:val="00CB725F"/>
    <w:rsid w:val="00CB79F7"/>
    <w:rsid w:val="00CC2328"/>
    <w:rsid w:val="00CC54BD"/>
    <w:rsid w:val="00CC6DE7"/>
    <w:rsid w:val="00CD02BD"/>
    <w:rsid w:val="00CD227C"/>
    <w:rsid w:val="00CD454F"/>
    <w:rsid w:val="00CD7F84"/>
    <w:rsid w:val="00CE358F"/>
    <w:rsid w:val="00CE6C13"/>
    <w:rsid w:val="00CF0EF1"/>
    <w:rsid w:val="00CF3764"/>
    <w:rsid w:val="00CF4A56"/>
    <w:rsid w:val="00CF4DED"/>
    <w:rsid w:val="00D02294"/>
    <w:rsid w:val="00D03672"/>
    <w:rsid w:val="00D038D9"/>
    <w:rsid w:val="00D04269"/>
    <w:rsid w:val="00D10C69"/>
    <w:rsid w:val="00D14A3F"/>
    <w:rsid w:val="00D16CB3"/>
    <w:rsid w:val="00D333F5"/>
    <w:rsid w:val="00D35311"/>
    <w:rsid w:val="00D35BE0"/>
    <w:rsid w:val="00D40D83"/>
    <w:rsid w:val="00D445C6"/>
    <w:rsid w:val="00D4720D"/>
    <w:rsid w:val="00D553B8"/>
    <w:rsid w:val="00D60358"/>
    <w:rsid w:val="00D63382"/>
    <w:rsid w:val="00D67B0C"/>
    <w:rsid w:val="00D71C9C"/>
    <w:rsid w:val="00D734E4"/>
    <w:rsid w:val="00D73958"/>
    <w:rsid w:val="00D754EC"/>
    <w:rsid w:val="00D756DC"/>
    <w:rsid w:val="00D81CF9"/>
    <w:rsid w:val="00D83744"/>
    <w:rsid w:val="00D86C6B"/>
    <w:rsid w:val="00D87283"/>
    <w:rsid w:val="00D90C82"/>
    <w:rsid w:val="00D93E9D"/>
    <w:rsid w:val="00D94951"/>
    <w:rsid w:val="00D95727"/>
    <w:rsid w:val="00D95E42"/>
    <w:rsid w:val="00D97839"/>
    <w:rsid w:val="00DA0A1D"/>
    <w:rsid w:val="00DA15EC"/>
    <w:rsid w:val="00DB15C1"/>
    <w:rsid w:val="00DB174D"/>
    <w:rsid w:val="00DB62F7"/>
    <w:rsid w:val="00DB6CF9"/>
    <w:rsid w:val="00DB6E07"/>
    <w:rsid w:val="00DB6E45"/>
    <w:rsid w:val="00DC483D"/>
    <w:rsid w:val="00DC68D9"/>
    <w:rsid w:val="00DD169C"/>
    <w:rsid w:val="00DD2E03"/>
    <w:rsid w:val="00DD2F67"/>
    <w:rsid w:val="00DD4080"/>
    <w:rsid w:val="00DD498A"/>
    <w:rsid w:val="00DE18BA"/>
    <w:rsid w:val="00DE2A7A"/>
    <w:rsid w:val="00DE3284"/>
    <w:rsid w:val="00DE3945"/>
    <w:rsid w:val="00DF1281"/>
    <w:rsid w:val="00DF3F51"/>
    <w:rsid w:val="00E01EFD"/>
    <w:rsid w:val="00E03D1C"/>
    <w:rsid w:val="00E04143"/>
    <w:rsid w:val="00E060D6"/>
    <w:rsid w:val="00E066C0"/>
    <w:rsid w:val="00E07E6F"/>
    <w:rsid w:val="00E146B1"/>
    <w:rsid w:val="00E21FEE"/>
    <w:rsid w:val="00E23658"/>
    <w:rsid w:val="00E25357"/>
    <w:rsid w:val="00E2794B"/>
    <w:rsid w:val="00E27F8E"/>
    <w:rsid w:val="00E31584"/>
    <w:rsid w:val="00E31672"/>
    <w:rsid w:val="00E326AC"/>
    <w:rsid w:val="00E32F56"/>
    <w:rsid w:val="00E35284"/>
    <w:rsid w:val="00E35375"/>
    <w:rsid w:val="00E413CA"/>
    <w:rsid w:val="00E419D4"/>
    <w:rsid w:val="00E46B21"/>
    <w:rsid w:val="00E471C8"/>
    <w:rsid w:val="00E51067"/>
    <w:rsid w:val="00E52701"/>
    <w:rsid w:val="00E5600D"/>
    <w:rsid w:val="00E57147"/>
    <w:rsid w:val="00E62E1F"/>
    <w:rsid w:val="00E638C4"/>
    <w:rsid w:val="00E677D3"/>
    <w:rsid w:val="00E71EC0"/>
    <w:rsid w:val="00E72F9B"/>
    <w:rsid w:val="00E74CB1"/>
    <w:rsid w:val="00E76252"/>
    <w:rsid w:val="00E775AD"/>
    <w:rsid w:val="00E8157B"/>
    <w:rsid w:val="00E8228C"/>
    <w:rsid w:val="00E86121"/>
    <w:rsid w:val="00E8682B"/>
    <w:rsid w:val="00E86FEB"/>
    <w:rsid w:val="00E93B66"/>
    <w:rsid w:val="00E9579B"/>
    <w:rsid w:val="00E964C1"/>
    <w:rsid w:val="00EA3676"/>
    <w:rsid w:val="00EA79FF"/>
    <w:rsid w:val="00EB2A13"/>
    <w:rsid w:val="00EB2A3F"/>
    <w:rsid w:val="00EB3C2A"/>
    <w:rsid w:val="00EB6CD0"/>
    <w:rsid w:val="00EC276C"/>
    <w:rsid w:val="00EC339A"/>
    <w:rsid w:val="00EC4F20"/>
    <w:rsid w:val="00EC5A17"/>
    <w:rsid w:val="00EC7EEA"/>
    <w:rsid w:val="00ED182B"/>
    <w:rsid w:val="00ED239B"/>
    <w:rsid w:val="00ED5C55"/>
    <w:rsid w:val="00EE20B1"/>
    <w:rsid w:val="00EE46DF"/>
    <w:rsid w:val="00EE586D"/>
    <w:rsid w:val="00EF0827"/>
    <w:rsid w:val="00EF2492"/>
    <w:rsid w:val="00F02B47"/>
    <w:rsid w:val="00F04027"/>
    <w:rsid w:val="00F12B2B"/>
    <w:rsid w:val="00F141EE"/>
    <w:rsid w:val="00F211F1"/>
    <w:rsid w:val="00F33F9E"/>
    <w:rsid w:val="00F34228"/>
    <w:rsid w:val="00F346D4"/>
    <w:rsid w:val="00F37921"/>
    <w:rsid w:val="00F40409"/>
    <w:rsid w:val="00F41546"/>
    <w:rsid w:val="00F43D1E"/>
    <w:rsid w:val="00F45440"/>
    <w:rsid w:val="00F47816"/>
    <w:rsid w:val="00F502B8"/>
    <w:rsid w:val="00F50484"/>
    <w:rsid w:val="00F529F1"/>
    <w:rsid w:val="00F532D1"/>
    <w:rsid w:val="00F53D26"/>
    <w:rsid w:val="00F55C03"/>
    <w:rsid w:val="00F61C82"/>
    <w:rsid w:val="00F63FA0"/>
    <w:rsid w:val="00F67240"/>
    <w:rsid w:val="00F70330"/>
    <w:rsid w:val="00F74E21"/>
    <w:rsid w:val="00F8110A"/>
    <w:rsid w:val="00F84B37"/>
    <w:rsid w:val="00F8580A"/>
    <w:rsid w:val="00F86C29"/>
    <w:rsid w:val="00F873BC"/>
    <w:rsid w:val="00F909D8"/>
    <w:rsid w:val="00F90D71"/>
    <w:rsid w:val="00F910AC"/>
    <w:rsid w:val="00F960F5"/>
    <w:rsid w:val="00F970D0"/>
    <w:rsid w:val="00F97256"/>
    <w:rsid w:val="00F973FC"/>
    <w:rsid w:val="00FA2010"/>
    <w:rsid w:val="00FB0625"/>
    <w:rsid w:val="00FB31C4"/>
    <w:rsid w:val="00FB48C6"/>
    <w:rsid w:val="00FB5493"/>
    <w:rsid w:val="00FB5C1C"/>
    <w:rsid w:val="00FC615B"/>
    <w:rsid w:val="00FC72F3"/>
    <w:rsid w:val="00FD12FE"/>
    <w:rsid w:val="00FD3FF9"/>
    <w:rsid w:val="00FD4715"/>
    <w:rsid w:val="00FD5A26"/>
    <w:rsid w:val="00FD6B8C"/>
    <w:rsid w:val="00FE0D3F"/>
    <w:rsid w:val="00FE2E4F"/>
    <w:rsid w:val="00FE68EF"/>
    <w:rsid w:val="00FE74AD"/>
    <w:rsid w:val="00FE74EC"/>
    <w:rsid w:val="00FE7695"/>
    <w:rsid w:val="00FE7FB8"/>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character" w:styleId="Emphasis">
    <w:name w:val="Emphasis"/>
    <w:uiPriority w:val="20"/>
    <w:qFormat/>
    <w:rsid w:val="00F33F9E"/>
    <w:rPr>
      <w:b/>
      <w:bCs/>
      <w:i w:val="0"/>
      <w:iCs w:val="0"/>
    </w:rPr>
  </w:style>
  <w:style w:type="character" w:customStyle="1" w:styleId="st1">
    <w:name w:val="st1"/>
    <w:basedOn w:val="DefaultParagraphFont"/>
    <w:rsid w:val="00F33F9E"/>
  </w:style>
  <w:style w:type="character" w:styleId="CommentReference">
    <w:name w:val="annotation reference"/>
    <w:rsid w:val="00EF0827"/>
    <w:rPr>
      <w:sz w:val="16"/>
      <w:szCs w:val="16"/>
    </w:rPr>
  </w:style>
  <w:style w:type="paragraph" w:styleId="CommentText">
    <w:name w:val="annotation text"/>
    <w:basedOn w:val="Normal"/>
    <w:link w:val="CommentTextChar"/>
    <w:rsid w:val="00EF0827"/>
    <w:rPr>
      <w:sz w:val="20"/>
      <w:lang w:val="x-none"/>
    </w:rPr>
  </w:style>
  <w:style w:type="character" w:customStyle="1" w:styleId="CommentTextChar">
    <w:name w:val="Comment Text Char"/>
    <w:link w:val="CommentText"/>
    <w:rsid w:val="00EF0827"/>
    <w:rPr>
      <w:lang w:eastAsia="en-US"/>
    </w:rPr>
  </w:style>
  <w:style w:type="paragraph" w:styleId="CommentSubject">
    <w:name w:val="annotation subject"/>
    <w:basedOn w:val="CommentText"/>
    <w:next w:val="CommentText"/>
    <w:link w:val="CommentSubjectChar"/>
    <w:rsid w:val="00EF0827"/>
    <w:rPr>
      <w:b/>
      <w:bCs/>
    </w:rPr>
  </w:style>
  <w:style w:type="character" w:customStyle="1" w:styleId="CommentSubjectChar">
    <w:name w:val="Comment Subject Char"/>
    <w:link w:val="CommentSubject"/>
    <w:rsid w:val="00EF082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character" w:styleId="Emphasis">
    <w:name w:val="Emphasis"/>
    <w:uiPriority w:val="20"/>
    <w:qFormat/>
    <w:rsid w:val="00F33F9E"/>
    <w:rPr>
      <w:b/>
      <w:bCs/>
      <w:i w:val="0"/>
      <w:iCs w:val="0"/>
    </w:rPr>
  </w:style>
  <w:style w:type="character" w:customStyle="1" w:styleId="st1">
    <w:name w:val="st1"/>
    <w:basedOn w:val="DefaultParagraphFont"/>
    <w:rsid w:val="00F33F9E"/>
  </w:style>
  <w:style w:type="character" w:styleId="CommentReference">
    <w:name w:val="annotation reference"/>
    <w:rsid w:val="00EF0827"/>
    <w:rPr>
      <w:sz w:val="16"/>
      <w:szCs w:val="16"/>
    </w:rPr>
  </w:style>
  <w:style w:type="paragraph" w:styleId="CommentText">
    <w:name w:val="annotation text"/>
    <w:basedOn w:val="Normal"/>
    <w:link w:val="CommentTextChar"/>
    <w:rsid w:val="00EF0827"/>
    <w:rPr>
      <w:sz w:val="20"/>
      <w:lang w:val="x-none"/>
    </w:rPr>
  </w:style>
  <w:style w:type="character" w:customStyle="1" w:styleId="CommentTextChar">
    <w:name w:val="Comment Text Char"/>
    <w:link w:val="CommentText"/>
    <w:rsid w:val="00EF0827"/>
    <w:rPr>
      <w:lang w:eastAsia="en-US"/>
    </w:rPr>
  </w:style>
  <w:style w:type="paragraph" w:styleId="CommentSubject">
    <w:name w:val="annotation subject"/>
    <w:basedOn w:val="CommentText"/>
    <w:next w:val="CommentText"/>
    <w:link w:val="CommentSubjectChar"/>
    <w:rsid w:val="00EF0827"/>
    <w:rPr>
      <w:b/>
      <w:bCs/>
    </w:rPr>
  </w:style>
  <w:style w:type="character" w:customStyle="1" w:styleId="CommentSubjectChar">
    <w:name w:val="Comment Subject Char"/>
    <w:link w:val="CommentSubject"/>
    <w:rsid w:val="00EF08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986010219">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6681">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donnelli@ealing.gov.uk" TargetMode="External"/><Relationship Id="rId4" Type="http://schemas.microsoft.com/office/2007/relationships/stylesWithEffects" Target="stylesWithEffects.xml"/><Relationship Id="rId9" Type="http://schemas.openxmlformats.org/officeDocument/2006/relationships/hyperlink" Target="mailto:jaypatel@westlondonwas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9FCCC-952C-440E-B32D-32B19EBA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6E05F282</Template>
  <TotalTime>33</TotalTime>
  <Pages>3</Pages>
  <Words>665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4508</CharactersWithSpaces>
  <SharedDoc>false</SharedDoc>
  <HLinks>
    <vt:vector size="18" baseType="variant">
      <vt:variant>
        <vt:i4>6946818</vt:i4>
      </vt:variant>
      <vt:variant>
        <vt:i4>6</vt:i4>
      </vt:variant>
      <vt:variant>
        <vt:i4>0</vt:i4>
      </vt:variant>
      <vt:variant>
        <vt:i4>5</vt:i4>
      </vt:variant>
      <vt:variant>
        <vt:lpwstr>mailto:Odonnelli@ealing.gov.uk</vt:lpwstr>
      </vt:variant>
      <vt:variant>
        <vt:lpwstr/>
      </vt:variant>
      <vt:variant>
        <vt:i4>3997768</vt:i4>
      </vt:variant>
      <vt:variant>
        <vt:i4>3</vt:i4>
      </vt:variant>
      <vt:variant>
        <vt:i4>0</vt:i4>
      </vt:variant>
      <vt:variant>
        <vt:i4>5</vt:i4>
      </vt:variant>
      <vt:variant>
        <vt:lpwstr>mailto:jimbrennan@westlondonwaste.gov.uk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creator>Mike Nicholls</dc:creator>
  <cp:lastModifiedBy>London Borough of Ealing</cp:lastModifiedBy>
  <cp:revision>6</cp:revision>
  <cp:lastPrinted>2014-06-06T13:29:00Z</cp:lastPrinted>
  <dcterms:created xsi:type="dcterms:W3CDTF">2017-08-09T14:03:00Z</dcterms:created>
  <dcterms:modified xsi:type="dcterms:W3CDTF">2017-08-24T13:16:00Z</dcterms:modified>
</cp:coreProperties>
</file>